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6D77A" w14:textId="0822BCD5" w:rsidR="00EB58E0" w:rsidRPr="004C7AC1" w:rsidRDefault="0098727B">
      <w:pPr>
        <w:pStyle w:val="Header"/>
        <w:tabs>
          <w:tab w:val="clear" w:pos="4153"/>
          <w:tab w:val="clear" w:pos="8306"/>
          <w:tab w:val="right" w:pos="9638"/>
        </w:tabs>
        <w:ind w:right="-58"/>
        <w:rPr>
          <w:rFonts w:ascii="Arial" w:eastAsia="Arial Unicode MS" w:hAnsi="Arial" w:cs="Arial"/>
          <w:b/>
          <w:bCs/>
        </w:rPr>
      </w:pPr>
      <w:r w:rsidRPr="004C7AC1">
        <w:rPr>
          <w:rFonts w:ascii="Arial" w:eastAsia="Arial Unicode MS" w:hAnsi="Arial" w:cs="Arial"/>
          <w:b/>
          <w:bCs/>
        </w:rPr>
        <w:t xml:space="preserve">3GPP </w:t>
      </w:r>
      <w:r w:rsidR="001E1B1B" w:rsidRPr="004C7AC1">
        <w:rPr>
          <w:rFonts w:ascii="Arial" w:eastAsia="Arial Unicode MS" w:hAnsi="Arial" w:cs="Arial"/>
          <w:b/>
          <w:bCs/>
        </w:rPr>
        <w:t xml:space="preserve">TSG </w:t>
      </w:r>
      <w:r w:rsidR="005F07DA" w:rsidRPr="004C7AC1">
        <w:rPr>
          <w:rFonts w:ascii="Arial" w:eastAsia="Arial Unicode MS" w:hAnsi="Arial" w:cs="Arial"/>
          <w:b/>
          <w:bCs/>
        </w:rPr>
        <w:t>RAN</w:t>
      </w:r>
      <w:r w:rsidR="00D676A8" w:rsidRPr="004C7AC1">
        <w:rPr>
          <w:rFonts w:ascii="Arial" w:eastAsia="Arial Unicode MS" w:hAnsi="Arial" w:cs="Arial"/>
          <w:b/>
          <w:bCs/>
        </w:rPr>
        <w:t>2</w:t>
      </w:r>
      <w:r w:rsidR="00C006AE" w:rsidRPr="004C7AC1">
        <w:rPr>
          <w:rFonts w:ascii="Arial" w:eastAsia="Arial Unicode MS" w:hAnsi="Arial" w:cs="Arial"/>
          <w:b/>
          <w:bCs/>
        </w:rPr>
        <w:t xml:space="preserve"> WG</w:t>
      </w:r>
      <w:r w:rsidR="00D640A5" w:rsidRPr="004C7AC1">
        <w:rPr>
          <w:rFonts w:ascii="Arial" w:eastAsia="Arial Unicode MS" w:hAnsi="Arial" w:cs="Arial"/>
          <w:b/>
          <w:bCs/>
        </w:rPr>
        <w:t xml:space="preserve"> Meeting #</w:t>
      </w:r>
      <w:r w:rsidR="000532DD" w:rsidRPr="004C7AC1">
        <w:rPr>
          <w:rFonts w:ascii="Arial" w:eastAsia="Arial Unicode MS" w:hAnsi="Arial" w:cs="Arial"/>
          <w:b/>
          <w:bCs/>
        </w:rPr>
        <w:t>9</w:t>
      </w:r>
      <w:r w:rsidR="008337F8">
        <w:rPr>
          <w:rFonts w:ascii="Arial" w:eastAsia="Arial Unicode MS" w:hAnsi="Arial" w:cs="Arial"/>
          <w:b/>
          <w:bCs/>
        </w:rPr>
        <w:t>4</w:t>
      </w:r>
      <w:r w:rsidR="00EF04A6" w:rsidRPr="004C7AC1">
        <w:rPr>
          <w:rFonts w:ascii="Arial" w:eastAsia="Arial Unicode MS" w:hAnsi="Arial" w:cs="Arial"/>
          <w:b/>
          <w:bCs/>
        </w:rPr>
        <w:tab/>
      </w:r>
      <w:r w:rsidR="00883E28" w:rsidRPr="00883E28">
        <w:rPr>
          <w:rFonts w:ascii="Arial" w:eastAsia="Arial Unicode MS" w:hAnsi="Arial" w:cs="Arial"/>
          <w:b/>
          <w:bCs/>
        </w:rPr>
        <w:t>R2-163877</w:t>
      </w:r>
    </w:p>
    <w:p w14:paraId="05A55FEE" w14:textId="7B523966" w:rsidR="00EB58E0" w:rsidRPr="004C7AC1" w:rsidRDefault="008337F8">
      <w:pPr>
        <w:pStyle w:val="Header"/>
        <w:pBdr>
          <w:bottom w:val="single" w:sz="4" w:space="1" w:color="auto"/>
        </w:pBdr>
        <w:tabs>
          <w:tab w:val="clear" w:pos="4153"/>
          <w:tab w:val="clear" w:pos="8306"/>
          <w:tab w:val="right" w:pos="9638"/>
        </w:tabs>
        <w:ind w:right="-58"/>
        <w:rPr>
          <w:rFonts w:ascii="Arial" w:eastAsia="Arial Unicode MS" w:hAnsi="Arial" w:cs="Arial"/>
          <w:b/>
          <w:bCs/>
        </w:rPr>
      </w:pPr>
      <w:r>
        <w:rPr>
          <w:rFonts w:ascii="Arial" w:eastAsia="Arial Unicode MS" w:hAnsi="Arial" w:cs="Arial"/>
          <w:b/>
          <w:bCs/>
          <w:noProof/>
        </w:rPr>
        <w:t>23</w:t>
      </w:r>
      <w:r w:rsidR="000532DD" w:rsidRPr="004C7AC1">
        <w:rPr>
          <w:rFonts w:ascii="Arial" w:eastAsia="Arial Unicode MS" w:hAnsi="Arial" w:cs="Arial"/>
          <w:b/>
          <w:bCs/>
          <w:noProof/>
        </w:rPr>
        <w:t>-2</w:t>
      </w:r>
      <w:r>
        <w:rPr>
          <w:rFonts w:ascii="Arial" w:eastAsia="Arial Unicode MS" w:hAnsi="Arial" w:cs="Arial"/>
          <w:b/>
          <w:bCs/>
          <w:noProof/>
        </w:rPr>
        <w:t>7</w:t>
      </w:r>
      <w:r w:rsidR="005F07DA" w:rsidRPr="004C7AC1">
        <w:rPr>
          <w:rFonts w:ascii="Arial" w:eastAsia="Arial Unicode MS" w:hAnsi="Arial" w:cs="Arial"/>
          <w:b/>
          <w:bCs/>
          <w:noProof/>
        </w:rPr>
        <w:t xml:space="preserve"> </w:t>
      </w:r>
      <w:r>
        <w:rPr>
          <w:rFonts w:ascii="Arial" w:eastAsia="Arial Unicode MS" w:hAnsi="Arial" w:cs="Arial"/>
          <w:b/>
          <w:bCs/>
          <w:noProof/>
        </w:rPr>
        <w:t>May</w:t>
      </w:r>
      <w:r w:rsidR="000532DD" w:rsidRPr="004C7AC1">
        <w:rPr>
          <w:rFonts w:ascii="Arial" w:eastAsia="Arial Unicode MS" w:hAnsi="Arial" w:cs="Arial"/>
          <w:b/>
          <w:bCs/>
          <w:noProof/>
        </w:rPr>
        <w:t xml:space="preserve"> </w:t>
      </w:r>
      <w:r w:rsidR="00842F5E" w:rsidRPr="004C7AC1">
        <w:rPr>
          <w:rFonts w:ascii="Arial" w:eastAsia="Arial Unicode MS" w:hAnsi="Arial" w:cs="Arial"/>
          <w:b/>
          <w:bCs/>
          <w:noProof/>
        </w:rPr>
        <w:t>201</w:t>
      </w:r>
      <w:r>
        <w:rPr>
          <w:rFonts w:ascii="Arial" w:eastAsia="Arial Unicode MS" w:hAnsi="Arial" w:cs="Arial"/>
          <w:b/>
          <w:bCs/>
          <w:noProof/>
        </w:rPr>
        <w:t>6</w:t>
      </w:r>
      <w:r w:rsidR="00FF39D5" w:rsidRPr="004C7AC1">
        <w:rPr>
          <w:rFonts w:ascii="Arial" w:eastAsia="Arial Unicode MS" w:hAnsi="Arial" w:cs="Arial"/>
          <w:b/>
          <w:bCs/>
          <w:noProof/>
        </w:rPr>
        <w:t xml:space="preserve">, </w:t>
      </w:r>
      <w:r>
        <w:rPr>
          <w:rFonts w:ascii="Arial" w:eastAsia="Arial Unicode MS" w:hAnsi="Arial" w:cs="Arial"/>
          <w:b/>
          <w:bCs/>
          <w:noProof/>
        </w:rPr>
        <w:t>Nanjing, China</w:t>
      </w:r>
    </w:p>
    <w:p w14:paraId="345DE3A3" w14:textId="77777777" w:rsidR="00EB58E0" w:rsidRPr="004C7AC1" w:rsidRDefault="00EB58E0">
      <w:pPr>
        <w:rPr>
          <w:rFonts w:ascii="Arial" w:hAnsi="Arial" w:cs="Arial"/>
          <w:color w:val="auto"/>
        </w:rPr>
      </w:pPr>
    </w:p>
    <w:p w14:paraId="10F2A435" w14:textId="77777777" w:rsidR="00EB58E0" w:rsidRPr="004C7AC1" w:rsidRDefault="00EB58E0">
      <w:pPr>
        <w:ind w:left="2127" w:hanging="2127"/>
        <w:rPr>
          <w:rFonts w:ascii="Arial" w:hAnsi="Arial" w:cs="Arial"/>
          <w:b/>
        </w:rPr>
      </w:pPr>
      <w:r w:rsidRPr="004C7AC1">
        <w:rPr>
          <w:rFonts w:ascii="Arial" w:hAnsi="Arial" w:cs="Arial"/>
          <w:b/>
        </w:rPr>
        <w:t>Source:</w:t>
      </w:r>
      <w:r w:rsidRPr="004C7AC1">
        <w:rPr>
          <w:rFonts w:ascii="Arial" w:hAnsi="Arial" w:cs="Arial"/>
          <w:b/>
        </w:rPr>
        <w:tab/>
      </w:r>
      <w:r w:rsidR="00982F8B" w:rsidRPr="004C7AC1">
        <w:rPr>
          <w:rFonts w:ascii="Arial" w:hAnsi="Arial" w:cs="Arial"/>
          <w:b/>
        </w:rPr>
        <w:t>BlackBerry UK Ltd</w:t>
      </w:r>
    </w:p>
    <w:p w14:paraId="47923D60" w14:textId="6B132209" w:rsidR="00EB58E0" w:rsidRPr="004C7AC1" w:rsidRDefault="00BC67D4">
      <w:pPr>
        <w:ind w:left="2127" w:hanging="2127"/>
        <w:rPr>
          <w:rFonts w:ascii="Arial" w:hAnsi="Arial" w:cs="Arial"/>
          <w:b/>
        </w:rPr>
      </w:pPr>
      <w:r w:rsidRPr="004C7AC1">
        <w:rPr>
          <w:rFonts w:ascii="Arial" w:hAnsi="Arial" w:cs="Arial"/>
          <w:b/>
        </w:rPr>
        <w:t>Title:</w:t>
      </w:r>
      <w:r w:rsidRPr="004C7AC1">
        <w:rPr>
          <w:rFonts w:ascii="Arial" w:hAnsi="Arial" w:cs="Arial"/>
          <w:b/>
        </w:rPr>
        <w:tab/>
      </w:r>
      <w:proofErr w:type="spellStart"/>
      <w:r w:rsidR="00EC6175">
        <w:rPr>
          <w:rFonts w:ascii="Arial" w:hAnsi="Arial" w:cs="Arial"/>
          <w:b/>
        </w:rPr>
        <w:t>QoS</w:t>
      </w:r>
      <w:proofErr w:type="spellEnd"/>
      <w:r w:rsidR="00EC6175">
        <w:rPr>
          <w:rFonts w:ascii="Arial" w:hAnsi="Arial" w:cs="Arial"/>
          <w:b/>
        </w:rPr>
        <w:t xml:space="preserve"> and DRX aspects of </w:t>
      </w:r>
      <w:proofErr w:type="spellStart"/>
      <w:r w:rsidR="00EC6175">
        <w:rPr>
          <w:rFonts w:ascii="Arial" w:hAnsi="Arial" w:cs="Arial"/>
          <w:b/>
        </w:rPr>
        <w:t>eLAA</w:t>
      </w:r>
      <w:proofErr w:type="spellEnd"/>
    </w:p>
    <w:p w14:paraId="50496796" w14:textId="77777777" w:rsidR="00EB58E0" w:rsidRPr="004C7AC1" w:rsidRDefault="0049140C">
      <w:pPr>
        <w:ind w:left="2127" w:hanging="2127"/>
        <w:rPr>
          <w:rFonts w:ascii="Arial" w:hAnsi="Arial" w:cs="Arial"/>
          <w:b/>
        </w:rPr>
      </w:pPr>
      <w:r w:rsidRPr="004C7AC1">
        <w:rPr>
          <w:rFonts w:ascii="Arial" w:hAnsi="Arial" w:cs="Arial"/>
          <w:b/>
        </w:rPr>
        <w:t>Document for:</w:t>
      </w:r>
      <w:r w:rsidRPr="004C7AC1">
        <w:rPr>
          <w:rFonts w:ascii="Arial" w:hAnsi="Arial" w:cs="Arial"/>
          <w:b/>
        </w:rPr>
        <w:tab/>
      </w:r>
      <w:r w:rsidR="0053500A" w:rsidRPr="004C7AC1">
        <w:rPr>
          <w:rFonts w:ascii="Arial" w:hAnsi="Arial" w:cs="Arial"/>
          <w:b/>
        </w:rPr>
        <w:t>D</w:t>
      </w:r>
      <w:r w:rsidR="00C006AE" w:rsidRPr="004C7AC1">
        <w:rPr>
          <w:rFonts w:ascii="Arial" w:hAnsi="Arial" w:cs="Arial"/>
          <w:b/>
        </w:rPr>
        <w:t>ecision</w:t>
      </w:r>
    </w:p>
    <w:p w14:paraId="2B17CBEC" w14:textId="2C7FDEAC" w:rsidR="00EB58E0" w:rsidRPr="004C7AC1" w:rsidRDefault="00EB58E0">
      <w:pPr>
        <w:ind w:left="2127" w:hanging="2127"/>
        <w:rPr>
          <w:rFonts w:ascii="Arial" w:hAnsi="Arial" w:cs="Arial"/>
          <w:b/>
        </w:rPr>
      </w:pPr>
      <w:r w:rsidRPr="004C7AC1">
        <w:rPr>
          <w:rFonts w:ascii="Arial" w:hAnsi="Arial" w:cs="Arial"/>
          <w:b/>
        </w:rPr>
        <w:t>Agenda Item:</w:t>
      </w:r>
      <w:r w:rsidRPr="004C7AC1">
        <w:rPr>
          <w:rFonts w:ascii="Arial" w:hAnsi="Arial" w:cs="Arial"/>
          <w:b/>
        </w:rPr>
        <w:tab/>
      </w:r>
      <w:r w:rsidR="0028250F">
        <w:rPr>
          <w:rFonts w:ascii="Arial" w:hAnsi="Arial" w:cs="Arial"/>
          <w:b/>
        </w:rPr>
        <w:t>8.1.3</w:t>
      </w:r>
    </w:p>
    <w:p w14:paraId="4AF6DBD3" w14:textId="77777777" w:rsidR="008C59D1" w:rsidRPr="004C7AC1" w:rsidRDefault="005B4C82" w:rsidP="00E14960">
      <w:pPr>
        <w:pStyle w:val="Heading1"/>
        <w:numPr>
          <w:ilvl w:val="0"/>
          <w:numId w:val="7"/>
        </w:numPr>
        <w:rPr>
          <w:sz w:val="28"/>
        </w:rPr>
      </w:pPr>
      <w:r w:rsidRPr="004C7AC1">
        <w:rPr>
          <w:sz w:val="28"/>
        </w:rPr>
        <w:t>Introduction</w:t>
      </w:r>
    </w:p>
    <w:p w14:paraId="14420254" w14:textId="4EBA6FCB" w:rsidR="00107C55" w:rsidRPr="004C7AC1" w:rsidRDefault="008337F8" w:rsidP="005C68C6">
      <w:r>
        <w:t xml:space="preserve">This contribution discusses some of the open aspects of </w:t>
      </w:r>
      <w:proofErr w:type="spellStart"/>
      <w:r>
        <w:t>eLAA</w:t>
      </w:r>
      <w:proofErr w:type="spellEnd"/>
      <w:r>
        <w:t xml:space="preserve"> and proposes a way forward for these. </w:t>
      </w:r>
    </w:p>
    <w:p w14:paraId="43600C15" w14:textId="7D1CADC0" w:rsidR="005B4C82" w:rsidRDefault="008337F8" w:rsidP="004C7AC1">
      <w:pPr>
        <w:pStyle w:val="Heading1"/>
        <w:numPr>
          <w:ilvl w:val="0"/>
          <w:numId w:val="7"/>
        </w:numPr>
        <w:rPr>
          <w:sz w:val="28"/>
        </w:rPr>
      </w:pPr>
      <w:r>
        <w:rPr>
          <w:sz w:val="28"/>
        </w:rPr>
        <w:t>Per-bearer routing of data over licensed/unlicensed carriers</w:t>
      </w:r>
    </w:p>
    <w:p w14:paraId="5042A2D9" w14:textId="43E84A99" w:rsidR="008337F8" w:rsidRDefault="008337F8" w:rsidP="008337F8">
      <w:pPr>
        <w:rPr>
          <w:lang w:bidi="hi-IN"/>
        </w:rPr>
      </w:pPr>
      <w:r>
        <w:rPr>
          <w:lang w:bidi="hi-IN"/>
        </w:rPr>
        <w:t>At RAN2#93-bis, it was agreed that the network would be able to configure per bearer/logical channel w</w:t>
      </w:r>
      <w:r w:rsidR="003E4A7F">
        <w:rPr>
          <w:lang w:bidi="hi-IN"/>
        </w:rPr>
        <w:t>h</w:t>
      </w:r>
      <w:r>
        <w:rPr>
          <w:lang w:bidi="hi-IN"/>
        </w:rPr>
        <w:t xml:space="preserve">ether it can be offloaded to LAA </w:t>
      </w:r>
      <w:proofErr w:type="spellStart"/>
      <w:r>
        <w:rPr>
          <w:lang w:bidi="hi-IN"/>
        </w:rPr>
        <w:t>SCells</w:t>
      </w:r>
      <w:proofErr w:type="spellEnd"/>
      <w:r>
        <w:rPr>
          <w:lang w:bidi="hi-IN"/>
        </w:rPr>
        <w:t xml:space="preserve"> or whether it </w:t>
      </w:r>
      <w:r w:rsidR="003E4A7F">
        <w:rPr>
          <w:lang w:bidi="hi-IN"/>
        </w:rPr>
        <w:t>should</w:t>
      </w:r>
      <w:r>
        <w:rPr>
          <w:lang w:bidi="hi-IN"/>
        </w:rPr>
        <w:t xml:space="preserve"> only be served by licensed carriers</w:t>
      </w:r>
      <w:r w:rsidR="00F51D68">
        <w:rPr>
          <w:lang w:bidi="hi-IN"/>
        </w:rPr>
        <w:t xml:space="preserve"> [1]</w:t>
      </w:r>
      <w:r>
        <w:rPr>
          <w:lang w:bidi="hi-IN"/>
        </w:rPr>
        <w:t xml:space="preserve">. One aspect to further consider in this regard is which entity makes this decision. There are multiple </w:t>
      </w:r>
      <w:r w:rsidR="00552CCF">
        <w:rPr>
          <w:lang w:bidi="hi-IN"/>
        </w:rPr>
        <w:t>possibilities:</w:t>
      </w:r>
    </w:p>
    <w:p w14:paraId="6D2AB7F3" w14:textId="42D5077E" w:rsidR="00552CCF" w:rsidRDefault="00552CCF" w:rsidP="008337F8">
      <w:pPr>
        <w:rPr>
          <w:lang w:bidi="hi-IN"/>
        </w:rPr>
      </w:pPr>
      <w:r>
        <w:rPr>
          <w:lang w:bidi="hi-IN"/>
        </w:rPr>
        <w:t xml:space="preserve">Option 1: </w:t>
      </w:r>
      <w:r w:rsidR="003E4A7F">
        <w:rPr>
          <w:lang w:bidi="hi-IN"/>
        </w:rPr>
        <w:t xml:space="preserve">The </w:t>
      </w:r>
      <w:proofErr w:type="spellStart"/>
      <w:r>
        <w:rPr>
          <w:lang w:bidi="hi-IN"/>
        </w:rPr>
        <w:t>eNB</w:t>
      </w:r>
      <w:proofErr w:type="spellEnd"/>
      <w:r>
        <w:rPr>
          <w:lang w:bidi="hi-IN"/>
        </w:rPr>
        <w:t xml:space="preserve"> </w:t>
      </w:r>
      <w:r w:rsidR="003E4A7F">
        <w:rPr>
          <w:lang w:bidi="hi-IN"/>
        </w:rPr>
        <w:t xml:space="preserve">makes </w:t>
      </w:r>
      <w:r>
        <w:rPr>
          <w:lang w:bidi="hi-IN"/>
        </w:rPr>
        <w:t>the routing</w:t>
      </w:r>
      <w:r w:rsidR="003E4A7F">
        <w:rPr>
          <w:lang w:bidi="hi-IN"/>
        </w:rPr>
        <w:t xml:space="preserve"> decisions</w:t>
      </w:r>
      <w:r>
        <w:rPr>
          <w:lang w:bidi="hi-IN"/>
        </w:rPr>
        <w:t xml:space="preserve"> (e.g. based on the </w:t>
      </w:r>
      <w:proofErr w:type="spellStart"/>
      <w:r>
        <w:rPr>
          <w:lang w:bidi="hi-IN"/>
        </w:rPr>
        <w:t>QoS</w:t>
      </w:r>
      <w:proofErr w:type="spellEnd"/>
      <w:r>
        <w:rPr>
          <w:lang w:bidi="hi-IN"/>
        </w:rPr>
        <w:t xml:space="preserve"> information of the bearer)</w:t>
      </w:r>
    </w:p>
    <w:p w14:paraId="1E6D1554" w14:textId="19DD758E" w:rsidR="00552CCF" w:rsidRDefault="00E668B2" w:rsidP="00552CCF">
      <w:pPr>
        <w:pStyle w:val="ListParagraph"/>
        <w:numPr>
          <w:ilvl w:val="0"/>
          <w:numId w:val="28"/>
        </w:numPr>
        <w:rPr>
          <w:color w:val="000000"/>
          <w:sz w:val="20"/>
          <w:szCs w:val="20"/>
          <w:lang w:val="en-GB" w:eastAsia="ja-JP" w:bidi="hi-IN"/>
        </w:rPr>
      </w:pPr>
      <w:r>
        <w:rPr>
          <w:color w:val="000000"/>
          <w:sz w:val="20"/>
          <w:szCs w:val="20"/>
          <w:lang w:val="en-GB" w:eastAsia="ja-JP" w:bidi="hi-IN"/>
        </w:rPr>
        <w:t>T</w:t>
      </w:r>
      <w:r w:rsidR="00552CCF" w:rsidRPr="00552CCF">
        <w:rPr>
          <w:color w:val="000000"/>
          <w:sz w:val="20"/>
          <w:szCs w:val="20"/>
          <w:lang w:val="en-GB" w:eastAsia="ja-JP" w:bidi="hi-IN"/>
        </w:rPr>
        <w:t xml:space="preserve">his option </w:t>
      </w:r>
      <w:r>
        <w:rPr>
          <w:color w:val="000000"/>
          <w:sz w:val="20"/>
          <w:szCs w:val="20"/>
          <w:lang w:val="en-GB" w:eastAsia="ja-JP" w:bidi="hi-IN"/>
        </w:rPr>
        <w:t>does</w:t>
      </w:r>
      <w:r w:rsidR="00552CCF">
        <w:rPr>
          <w:color w:val="000000"/>
          <w:sz w:val="20"/>
          <w:szCs w:val="20"/>
          <w:lang w:val="en-GB" w:eastAsia="ja-JP" w:bidi="hi-IN"/>
        </w:rPr>
        <w:t xml:space="preserve"> not require any further core network signalling</w:t>
      </w:r>
    </w:p>
    <w:p w14:paraId="1C7B32F9" w14:textId="1E7A77D8" w:rsidR="00552CCF" w:rsidRDefault="00552CCF" w:rsidP="00552CCF">
      <w:pPr>
        <w:pStyle w:val="ListParagraph"/>
        <w:numPr>
          <w:ilvl w:val="0"/>
          <w:numId w:val="28"/>
        </w:numPr>
        <w:rPr>
          <w:color w:val="000000"/>
          <w:sz w:val="20"/>
          <w:szCs w:val="20"/>
          <w:lang w:val="en-GB" w:eastAsia="ja-JP" w:bidi="hi-IN"/>
        </w:rPr>
      </w:pPr>
      <w:r>
        <w:rPr>
          <w:color w:val="000000"/>
          <w:sz w:val="20"/>
          <w:szCs w:val="20"/>
          <w:lang w:val="en-GB" w:eastAsia="ja-JP" w:bidi="hi-IN"/>
        </w:rPr>
        <w:t xml:space="preserve">On the other hand, this option prevents the operator to have </w:t>
      </w:r>
      <w:r w:rsidR="00022096">
        <w:rPr>
          <w:color w:val="000000"/>
          <w:sz w:val="20"/>
          <w:szCs w:val="20"/>
          <w:lang w:val="en-GB" w:eastAsia="ja-JP" w:bidi="hi-IN"/>
        </w:rPr>
        <w:t xml:space="preserve">direct control over </w:t>
      </w:r>
      <w:r>
        <w:rPr>
          <w:color w:val="000000"/>
          <w:sz w:val="20"/>
          <w:szCs w:val="20"/>
          <w:lang w:val="en-GB" w:eastAsia="ja-JP" w:bidi="hi-IN"/>
        </w:rPr>
        <w:t xml:space="preserve">per bearer (or per UE) </w:t>
      </w:r>
      <w:r w:rsidR="00022096">
        <w:rPr>
          <w:color w:val="000000"/>
          <w:sz w:val="20"/>
          <w:szCs w:val="20"/>
          <w:lang w:val="en-GB" w:eastAsia="ja-JP" w:bidi="hi-IN"/>
        </w:rPr>
        <w:t xml:space="preserve">level </w:t>
      </w:r>
      <w:r>
        <w:rPr>
          <w:color w:val="000000"/>
          <w:sz w:val="20"/>
          <w:szCs w:val="20"/>
          <w:lang w:val="en-GB" w:eastAsia="ja-JP" w:bidi="hi-IN"/>
        </w:rPr>
        <w:t xml:space="preserve">offloading. The operator may need to have this </w:t>
      </w:r>
      <w:r w:rsidR="003E4A7F">
        <w:rPr>
          <w:color w:val="000000"/>
          <w:sz w:val="20"/>
          <w:szCs w:val="20"/>
          <w:lang w:val="en-GB" w:eastAsia="ja-JP" w:bidi="hi-IN"/>
        </w:rPr>
        <w:t>possibility to</w:t>
      </w:r>
      <w:r>
        <w:rPr>
          <w:color w:val="000000"/>
          <w:sz w:val="20"/>
          <w:szCs w:val="20"/>
          <w:lang w:val="en-GB" w:eastAsia="ja-JP" w:bidi="hi-IN"/>
        </w:rPr>
        <w:t xml:space="preserve"> control the offloading per bearer or per UE e.g. based on some subscription type etc. </w:t>
      </w:r>
    </w:p>
    <w:p w14:paraId="5BA67244" w14:textId="22273F09" w:rsidR="00552CCF" w:rsidRDefault="00552CCF" w:rsidP="00552CCF">
      <w:pPr>
        <w:rPr>
          <w:lang w:bidi="hi-IN"/>
        </w:rPr>
      </w:pPr>
      <w:r>
        <w:rPr>
          <w:lang w:bidi="hi-IN"/>
        </w:rPr>
        <w:t xml:space="preserve">Option 2: </w:t>
      </w:r>
      <w:r w:rsidR="000F1B10">
        <w:rPr>
          <w:lang w:bidi="hi-IN"/>
        </w:rPr>
        <w:t xml:space="preserve">The </w:t>
      </w:r>
      <w:r>
        <w:rPr>
          <w:lang w:bidi="hi-IN"/>
        </w:rPr>
        <w:t xml:space="preserve">Core network (e.g. MME) decides </w:t>
      </w:r>
      <w:r w:rsidR="000F1B10">
        <w:rPr>
          <w:lang w:bidi="hi-IN"/>
        </w:rPr>
        <w:t xml:space="preserve">on </w:t>
      </w:r>
      <w:r>
        <w:rPr>
          <w:lang w:bidi="hi-IN"/>
        </w:rPr>
        <w:t xml:space="preserve">the routing and informs the </w:t>
      </w:r>
      <w:proofErr w:type="spellStart"/>
      <w:r>
        <w:rPr>
          <w:lang w:bidi="hi-IN"/>
        </w:rPr>
        <w:t>eNB</w:t>
      </w:r>
      <w:proofErr w:type="spellEnd"/>
    </w:p>
    <w:p w14:paraId="03FE4A12" w14:textId="6C14F653" w:rsidR="00552CCF" w:rsidRPr="00552CCF" w:rsidRDefault="00552CCF" w:rsidP="00552CCF">
      <w:pPr>
        <w:pStyle w:val="ListParagraph"/>
        <w:numPr>
          <w:ilvl w:val="0"/>
          <w:numId w:val="28"/>
        </w:numPr>
        <w:rPr>
          <w:color w:val="000000"/>
          <w:sz w:val="20"/>
          <w:szCs w:val="20"/>
          <w:lang w:val="en-GB" w:eastAsia="ja-JP" w:bidi="hi-IN"/>
        </w:rPr>
      </w:pPr>
      <w:r w:rsidRPr="00552CCF">
        <w:rPr>
          <w:color w:val="000000"/>
          <w:sz w:val="20"/>
          <w:szCs w:val="20"/>
          <w:lang w:val="en-GB" w:eastAsia="ja-JP" w:bidi="hi-IN"/>
        </w:rPr>
        <w:t>The obvious advantage of this option is that this enables the operator to have finer control over the offloading decisions.</w:t>
      </w:r>
    </w:p>
    <w:p w14:paraId="7B3AADAF" w14:textId="3000448F" w:rsidR="00552CCF" w:rsidRDefault="00552CCF" w:rsidP="00552CCF">
      <w:pPr>
        <w:pStyle w:val="ListParagraph"/>
        <w:numPr>
          <w:ilvl w:val="0"/>
          <w:numId w:val="28"/>
        </w:numPr>
        <w:rPr>
          <w:color w:val="000000"/>
          <w:sz w:val="20"/>
          <w:szCs w:val="20"/>
          <w:lang w:val="en-GB" w:eastAsia="ja-JP" w:bidi="hi-IN"/>
        </w:rPr>
      </w:pPr>
      <w:r w:rsidRPr="00552CCF">
        <w:rPr>
          <w:color w:val="000000"/>
          <w:sz w:val="20"/>
          <w:szCs w:val="20"/>
          <w:lang w:val="en-GB" w:eastAsia="ja-JP" w:bidi="hi-IN"/>
        </w:rPr>
        <w:t>On the other</w:t>
      </w:r>
      <w:r>
        <w:rPr>
          <w:color w:val="000000"/>
          <w:sz w:val="20"/>
          <w:szCs w:val="20"/>
          <w:lang w:val="en-GB" w:eastAsia="ja-JP" w:bidi="hi-IN"/>
        </w:rPr>
        <w:t xml:space="preserve"> </w:t>
      </w:r>
      <w:r w:rsidRPr="00552CCF">
        <w:rPr>
          <w:color w:val="000000"/>
          <w:sz w:val="20"/>
          <w:szCs w:val="20"/>
          <w:lang w:val="en-GB" w:eastAsia="ja-JP" w:bidi="hi-IN"/>
        </w:rPr>
        <w:t xml:space="preserve">hand, this needs additional signaling from the CN (e.g. </w:t>
      </w:r>
      <w:r w:rsidR="000F1B10">
        <w:rPr>
          <w:color w:val="000000"/>
          <w:sz w:val="20"/>
          <w:szCs w:val="20"/>
          <w:lang w:val="en-GB" w:eastAsia="ja-JP" w:bidi="hi-IN"/>
        </w:rPr>
        <w:t xml:space="preserve">the </w:t>
      </w:r>
      <w:r w:rsidRPr="00552CCF">
        <w:rPr>
          <w:color w:val="000000"/>
          <w:sz w:val="20"/>
          <w:szCs w:val="20"/>
          <w:lang w:val="en-GB" w:eastAsia="ja-JP" w:bidi="hi-IN"/>
        </w:rPr>
        <w:t xml:space="preserve">MME informing the </w:t>
      </w:r>
      <w:proofErr w:type="spellStart"/>
      <w:r w:rsidRPr="00552CCF">
        <w:rPr>
          <w:color w:val="000000"/>
          <w:sz w:val="20"/>
          <w:szCs w:val="20"/>
          <w:lang w:val="en-GB" w:eastAsia="ja-JP" w:bidi="hi-IN"/>
        </w:rPr>
        <w:t>eNB</w:t>
      </w:r>
      <w:proofErr w:type="spellEnd"/>
      <w:r w:rsidRPr="00552CCF">
        <w:rPr>
          <w:color w:val="000000"/>
          <w:sz w:val="20"/>
          <w:szCs w:val="20"/>
          <w:lang w:val="en-GB" w:eastAsia="ja-JP" w:bidi="hi-IN"/>
        </w:rPr>
        <w:t xml:space="preserve"> about the routing options during E-RAB setup). </w:t>
      </w:r>
    </w:p>
    <w:p w14:paraId="124F5FD3" w14:textId="77777777" w:rsidR="00E668B2" w:rsidRDefault="00E668B2" w:rsidP="00552CCF">
      <w:pPr>
        <w:rPr>
          <w:lang w:bidi="hi-IN"/>
        </w:rPr>
      </w:pPr>
    </w:p>
    <w:p w14:paraId="42E2EBBF" w14:textId="5F5821C5" w:rsidR="00552CCF" w:rsidRDefault="00552CCF" w:rsidP="00552CCF">
      <w:pPr>
        <w:rPr>
          <w:lang w:bidi="hi-IN"/>
        </w:rPr>
      </w:pPr>
      <w:r>
        <w:rPr>
          <w:lang w:bidi="hi-IN"/>
        </w:rPr>
        <w:t xml:space="preserve">Note that at least for UL, both option 1 and option 2 above would require </w:t>
      </w:r>
      <w:r w:rsidR="000F1B10">
        <w:rPr>
          <w:lang w:bidi="hi-IN"/>
        </w:rPr>
        <w:t xml:space="preserve">corresponding </w:t>
      </w:r>
      <w:r>
        <w:rPr>
          <w:lang w:bidi="hi-IN"/>
        </w:rPr>
        <w:t>RRC signalling (to inform the UE about the routing options). One further aspect to note is that for DL, although there is no need for RRC signalling to inform the UE about the routing, signalling</w:t>
      </w:r>
      <w:r w:rsidR="000F1B10">
        <w:rPr>
          <w:lang w:bidi="hi-IN"/>
        </w:rPr>
        <w:t xml:space="preserve"> from CN (e.g. MME</w:t>
      </w:r>
      <w:r>
        <w:rPr>
          <w:lang w:bidi="hi-IN"/>
        </w:rPr>
        <w:t xml:space="preserve"> </w:t>
      </w:r>
      <w:r w:rsidR="000F1B10">
        <w:rPr>
          <w:lang w:bidi="hi-IN"/>
        </w:rPr>
        <w:t xml:space="preserve">to </w:t>
      </w:r>
      <w:proofErr w:type="spellStart"/>
      <w:r w:rsidR="000F1B10">
        <w:rPr>
          <w:lang w:bidi="hi-IN"/>
        </w:rPr>
        <w:t>eNB</w:t>
      </w:r>
      <w:proofErr w:type="spellEnd"/>
      <w:r w:rsidR="000F1B10">
        <w:rPr>
          <w:lang w:bidi="hi-IN"/>
        </w:rPr>
        <w:t xml:space="preserve">) </w:t>
      </w:r>
      <w:r w:rsidR="00E668B2">
        <w:rPr>
          <w:lang w:bidi="hi-IN"/>
        </w:rPr>
        <w:t>is</w:t>
      </w:r>
      <w:r>
        <w:rPr>
          <w:lang w:bidi="hi-IN"/>
        </w:rPr>
        <w:t xml:space="preserve"> still needed if Option 2 </w:t>
      </w:r>
      <w:r w:rsidR="000F1B10">
        <w:rPr>
          <w:lang w:bidi="hi-IN"/>
        </w:rPr>
        <w:t>were</w:t>
      </w:r>
      <w:r>
        <w:rPr>
          <w:lang w:bidi="hi-IN"/>
        </w:rPr>
        <w:t xml:space="preserve"> to be employed. Further, it seems t</w:t>
      </w:r>
      <w:r w:rsidR="004B2629">
        <w:rPr>
          <w:lang w:bidi="hi-IN"/>
        </w:rPr>
        <w:t xml:space="preserve">hat in Rel-13, there is no such CN signalling and hence the routing decision is left entirely up to the </w:t>
      </w:r>
      <w:proofErr w:type="spellStart"/>
      <w:r w:rsidR="004B2629">
        <w:rPr>
          <w:lang w:bidi="hi-IN"/>
        </w:rPr>
        <w:t>eNB</w:t>
      </w:r>
      <w:proofErr w:type="spellEnd"/>
      <w:r w:rsidR="004B2629">
        <w:rPr>
          <w:lang w:bidi="hi-IN"/>
        </w:rPr>
        <w:t xml:space="preserve"> (i.e. option 1 is the assumed option). This may be improved in Rel-14 if it is seen as beneficial even for DL (note that there is no additional RRC impact for DL). </w:t>
      </w:r>
    </w:p>
    <w:p w14:paraId="03592AB0" w14:textId="345008DE" w:rsidR="004B2629" w:rsidRDefault="004B2629" w:rsidP="00552CCF">
      <w:pPr>
        <w:rPr>
          <w:b/>
          <w:lang w:bidi="hi-IN"/>
        </w:rPr>
      </w:pPr>
      <w:r w:rsidRPr="004B2629">
        <w:rPr>
          <w:b/>
          <w:lang w:bidi="hi-IN"/>
        </w:rPr>
        <w:t>Proposal 1: RAN 2 should discuss and agree on which entity is responsible for routing decisions</w:t>
      </w:r>
    </w:p>
    <w:p w14:paraId="7D71019D" w14:textId="4925105C" w:rsidR="00C0785B" w:rsidRDefault="00C0785B" w:rsidP="00552CCF">
      <w:pPr>
        <w:rPr>
          <w:b/>
          <w:lang w:bidi="hi-IN"/>
        </w:rPr>
      </w:pPr>
      <w:r>
        <w:rPr>
          <w:b/>
          <w:lang w:bidi="hi-IN"/>
        </w:rPr>
        <w:tab/>
        <w:t xml:space="preserve">Option 1: </w:t>
      </w:r>
      <w:r w:rsidR="000F1B10">
        <w:rPr>
          <w:b/>
          <w:lang w:bidi="hi-IN"/>
        </w:rPr>
        <w:t xml:space="preserve">The </w:t>
      </w:r>
      <w:proofErr w:type="spellStart"/>
      <w:r>
        <w:rPr>
          <w:b/>
          <w:lang w:bidi="hi-IN"/>
        </w:rPr>
        <w:t>eNB</w:t>
      </w:r>
      <w:proofErr w:type="spellEnd"/>
      <w:r>
        <w:rPr>
          <w:b/>
          <w:lang w:bidi="hi-IN"/>
        </w:rPr>
        <w:t xml:space="preserve"> decides the routing based on </w:t>
      </w:r>
      <w:proofErr w:type="spellStart"/>
      <w:r>
        <w:rPr>
          <w:b/>
          <w:lang w:bidi="hi-IN"/>
        </w:rPr>
        <w:t>QoS</w:t>
      </w:r>
      <w:proofErr w:type="spellEnd"/>
      <w:r>
        <w:rPr>
          <w:b/>
          <w:lang w:bidi="hi-IN"/>
        </w:rPr>
        <w:t xml:space="preserve"> information</w:t>
      </w:r>
    </w:p>
    <w:p w14:paraId="0795A8DF" w14:textId="57BA64C2" w:rsidR="00C0785B" w:rsidRPr="004B2629" w:rsidRDefault="00C0785B" w:rsidP="00552CCF">
      <w:pPr>
        <w:rPr>
          <w:b/>
          <w:lang w:bidi="hi-IN"/>
        </w:rPr>
      </w:pPr>
      <w:r>
        <w:rPr>
          <w:b/>
          <w:lang w:bidi="hi-IN"/>
        </w:rPr>
        <w:tab/>
        <w:t xml:space="preserve">Option 2: </w:t>
      </w:r>
      <w:r w:rsidR="000F1B10">
        <w:rPr>
          <w:b/>
          <w:lang w:bidi="hi-IN"/>
        </w:rPr>
        <w:t xml:space="preserve">The </w:t>
      </w:r>
      <w:r w:rsidRPr="00C0785B">
        <w:rPr>
          <w:b/>
          <w:lang w:bidi="hi-IN"/>
        </w:rPr>
        <w:t xml:space="preserve">Core network (e.g. MME) </w:t>
      </w:r>
      <w:r w:rsidR="00022096">
        <w:rPr>
          <w:b/>
          <w:lang w:bidi="hi-IN"/>
        </w:rPr>
        <w:t>influences</w:t>
      </w:r>
      <w:r w:rsidRPr="00C0785B">
        <w:rPr>
          <w:b/>
          <w:lang w:bidi="hi-IN"/>
        </w:rPr>
        <w:t xml:space="preserve"> the routing </w:t>
      </w:r>
      <w:r w:rsidR="00022096">
        <w:rPr>
          <w:b/>
          <w:lang w:bidi="hi-IN"/>
        </w:rPr>
        <w:t xml:space="preserve">decisions </w:t>
      </w:r>
      <w:r w:rsidRPr="00C0785B">
        <w:rPr>
          <w:b/>
          <w:lang w:bidi="hi-IN"/>
        </w:rPr>
        <w:t xml:space="preserve">and informs the </w:t>
      </w:r>
      <w:proofErr w:type="spellStart"/>
      <w:r w:rsidRPr="00C0785B">
        <w:rPr>
          <w:b/>
          <w:lang w:bidi="hi-IN"/>
        </w:rPr>
        <w:t>eNB</w:t>
      </w:r>
      <w:proofErr w:type="spellEnd"/>
    </w:p>
    <w:p w14:paraId="753FDF0C" w14:textId="3150AA8E" w:rsidR="004B2629" w:rsidRPr="004B2629" w:rsidRDefault="004B2629" w:rsidP="00552CCF">
      <w:pPr>
        <w:rPr>
          <w:b/>
          <w:lang w:bidi="hi-IN"/>
        </w:rPr>
      </w:pPr>
      <w:r w:rsidRPr="004B2629">
        <w:rPr>
          <w:b/>
          <w:lang w:bidi="hi-IN"/>
        </w:rPr>
        <w:t xml:space="preserve">Proposal 2: If it is agreed that the routing decisions are to be exposed to </w:t>
      </w:r>
      <w:r w:rsidR="000F1B10">
        <w:rPr>
          <w:b/>
          <w:lang w:bidi="hi-IN"/>
        </w:rPr>
        <w:t xml:space="preserve">the </w:t>
      </w:r>
      <w:r w:rsidRPr="004B2629">
        <w:rPr>
          <w:b/>
          <w:lang w:bidi="hi-IN"/>
        </w:rPr>
        <w:t>core network, then an LS should be sent to SA2/RAN3 to define the necessary signalling to enable this</w:t>
      </w:r>
    </w:p>
    <w:p w14:paraId="1C5BDC15" w14:textId="2922F733" w:rsidR="00F4702B" w:rsidRDefault="00F4702B" w:rsidP="00F4702B">
      <w:pPr>
        <w:pStyle w:val="Heading1"/>
        <w:numPr>
          <w:ilvl w:val="0"/>
          <w:numId w:val="7"/>
        </w:numPr>
        <w:rPr>
          <w:sz w:val="28"/>
        </w:rPr>
      </w:pPr>
      <w:r>
        <w:rPr>
          <w:sz w:val="28"/>
        </w:rPr>
        <w:t xml:space="preserve">DRX aspects of </w:t>
      </w:r>
      <w:proofErr w:type="spellStart"/>
      <w:r>
        <w:rPr>
          <w:sz w:val="28"/>
        </w:rPr>
        <w:t>eLAA</w:t>
      </w:r>
      <w:proofErr w:type="spellEnd"/>
    </w:p>
    <w:p w14:paraId="3D7237CB" w14:textId="123C40DF" w:rsidR="00F4702B" w:rsidRDefault="00F4702B" w:rsidP="00F4702B">
      <w:pPr>
        <w:rPr>
          <w:lang w:bidi="hi-IN"/>
        </w:rPr>
      </w:pPr>
      <w:r>
        <w:rPr>
          <w:lang w:bidi="hi-IN"/>
        </w:rPr>
        <w:t xml:space="preserve">LAA employs TDD but a new frame structure is used (frame structure 3 – see 36.211). In Rel-13 all </w:t>
      </w:r>
      <w:proofErr w:type="spellStart"/>
      <w:r>
        <w:rPr>
          <w:lang w:bidi="hi-IN"/>
        </w:rPr>
        <w:t>subframes</w:t>
      </w:r>
      <w:proofErr w:type="spellEnd"/>
      <w:r>
        <w:rPr>
          <w:lang w:bidi="hi-IN"/>
        </w:rPr>
        <w:t xml:space="preserve"> of the frame structure 3 are DL </w:t>
      </w:r>
      <w:proofErr w:type="spellStart"/>
      <w:r>
        <w:rPr>
          <w:lang w:bidi="hi-IN"/>
        </w:rPr>
        <w:t>subframes</w:t>
      </w:r>
      <w:proofErr w:type="spellEnd"/>
      <w:r>
        <w:rPr>
          <w:lang w:bidi="hi-IN"/>
        </w:rPr>
        <w:t xml:space="preserve">. We have captured this in MAC specifications by defining that for LAA all </w:t>
      </w:r>
      <w:proofErr w:type="spellStart"/>
      <w:r>
        <w:rPr>
          <w:lang w:bidi="hi-IN"/>
        </w:rPr>
        <w:t>subframes</w:t>
      </w:r>
      <w:proofErr w:type="spellEnd"/>
      <w:r>
        <w:rPr>
          <w:lang w:bidi="hi-IN"/>
        </w:rPr>
        <w:t xml:space="preserve"> are PDCCH </w:t>
      </w:r>
      <w:proofErr w:type="spellStart"/>
      <w:r>
        <w:rPr>
          <w:lang w:bidi="hi-IN"/>
        </w:rPr>
        <w:t>subframes</w:t>
      </w:r>
      <w:proofErr w:type="spellEnd"/>
      <w:r>
        <w:rPr>
          <w:lang w:bidi="hi-IN"/>
        </w:rPr>
        <w:t xml:space="preserve">. In Rel-14 however, not all </w:t>
      </w:r>
      <w:proofErr w:type="spellStart"/>
      <w:r>
        <w:rPr>
          <w:lang w:bidi="hi-IN"/>
        </w:rPr>
        <w:t>subframes</w:t>
      </w:r>
      <w:proofErr w:type="spellEnd"/>
      <w:r>
        <w:rPr>
          <w:lang w:bidi="hi-IN"/>
        </w:rPr>
        <w:t xml:space="preserve"> in frame structure 3 will be DL </w:t>
      </w:r>
      <w:proofErr w:type="spellStart"/>
      <w:r>
        <w:rPr>
          <w:lang w:bidi="hi-IN"/>
        </w:rPr>
        <w:t>subframes</w:t>
      </w:r>
      <w:proofErr w:type="spellEnd"/>
      <w:r>
        <w:rPr>
          <w:lang w:bidi="hi-IN"/>
        </w:rPr>
        <w:t>. Further,</w:t>
      </w:r>
      <w:r w:rsidR="00C0785B">
        <w:rPr>
          <w:lang w:bidi="hi-IN"/>
        </w:rPr>
        <w:t xml:space="preserve"> it is likely that the configuration of the </w:t>
      </w:r>
      <w:proofErr w:type="spellStart"/>
      <w:r w:rsidR="00C0785B">
        <w:rPr>
          <w:lang w:bidi="hi-IN"/>
        </w:rPr>
        <w:t>subframes</w:t>
      </w:r>
      <w:proofErr w:type="spellEnd"/>
      <w:r w:rsidR="00C0785B">
        <w:rPr>
          <w:lang w:bidi="hi-IN"/>
        </w:rPr>
        <w:t xml:space="preserve"> will change between UL and DL very dynamically. In the extreme a given </w:t>
      </w:r>
      <w:proofErr w:type="spellStart"/>
      <w:r w:rsidR="00C0785B">
        <w:rPr>
          <w:lang w:bidi="hi-IN"/>
        </w:rPr>
        <w:t>subframe</w:t>
      </w:r>
      <w:proofErr w:type="spellEnd"/>
      <w:r w:rsidR="00C0785B">
        <w:rPr>
          <w:lang w:bidi="hi-IN"/>
        </w:rPr>
        <w:t xml:space="preserve"> may be changed between DL to UL or vice versa based on the LBT result (i.e. decision </w:t>
      </w:r>
      <w:r w:rsidR="004C4565">
        <w:rPr>
          <w:lang w:bidi="hi-IN"/>
        </w:rPr>
        <w:t xml:space="preserve">can be </w:t>
      </w:r>
      <w:r w:rsidR="00C0785B">
        <w:rPr>
          <w:lang w:bidi="hi-IN"/>
        </w:rPr>
        <w:t xml:space="preserve">on a per </w:t>
      </w:r>
      <w:proofErr w:type="spellStart"/>
      <w:r w:rsidR="00C0785B">
        <w:rPr>
          <w:lang w:bidi="hi-IN"/>
        </w:rPr>
        <w:t>subframe</w:t>
      </w:r>
      <w:proofErr w:type="spellEnd"/>
      <w:r w:rsidR="00C0785B">
        <w:rPr>
          <w:lang w:bidi="hi-IN"/>
        </w:rPr>
        <w:t xml:space="preserve"> basis). </w:t>
      </w:r>
    </w:p>
    <w:p w14:paraId="495BC90D" w14:textId="0C3AB631" w:rsidR="00C0785B" w:rsidRPr="00C0785B" w:rsidRDefault="00C0785B" w:rsidP="00F4702B">
      <w:pPr>
        <w:rPr>
          <w:b/>
          <w:lang w:bidi="hi-IN"/>
        </w:rPr>
      </w:pPr>
      <w:r w:rsidRPr="00C0785B">
        <w:rPr>
          <w:b/>
          <w:lang w:bidi="hi-IN"/>
        </w:rPr>
        <w:lastRenderedPageBreak/>
        <w:t xml:space="preserve">Observation 1: LAA </w:t>
      </w:r>
      <w:proofErr w:type="spellStart"/>
      <w:r w:rsidRPr="00C0785B">
        <w:rPr>
          <w:b/>
          <w:lang w:bidi="hi-IN"/>
        </w:rPr>
        <w:t>subframe</w:t>
      </w:r>
      <w:proofErr w:type="spellEnd"/>
      <w:r w:rsidRPr="00C0785B">
        <w:rPr>
          <w:b/>
          <w:lang w:bidi="hi-IN"/>
        </w:rPr>
        <w:t xml:space="preserve"> type may change from UL to DL or vice-versa in a very dynami</w:t>
      </w:r>
      <w:r w:rsidR="000F1B10">
        <w:rPr>
          <w:b/>
          <w:lang w:bidi="hi-IN"/>
        </w:rPr>
        <w:t>c fashion (e.g. on a per</w:t>
      </w:r>
      <w:r w:rsidRPr="00C0785B">
        <w:rPr>
          <w:b/>
          <w:lang w:bidi="hi-IN"/>
        </w:rPr>
        <w:t xml:space="preserve"> </w:t>
      </w:r>
      <w:proofErr w:type="spellStart"/>
      <w:r w:rsidRPr="00C0785B">
        <w:rPr>
          <w:b/>
          <w:lang w:bidi="hi-IN"/>
        </w:rPr>
        <w:t>subframe</w:t>
      </w:r>
      <w:proofErr w:type="spellEnd"/>
      <w:r w:rsidRPr="00C0785B">
        <w:rPr>
          <w:b/>
          <w:lang w:bidi="hi-IN"/>
        </w:rPr>
        <w:t xml:space="preserve"> basis in the extreme case)</w:t>
      </w:r>
    </w:p>
    <w:p w14:paraId="3C9D07A0" w14:textId="47A19762" w:rsidR="00C0785B" w:rsidRDefault="00C0785B" w:rsidP="00F4702B">
      <w:pPr>
        <w:rPr>
          <w:lang w:bidi="hi-IN"/>
        </w:rPr>
      </w:pPr>
      <w:r>
        <w:rPr>
          <w:lang w:bidi="hi-IN"/>
        </w:rPr>
        <w:t>Given the above</w:t>
      </w:r>
      <w:r w:rsidR="000F1B10">
        <w:rPr>
          <w:lang w:bidi="hi-IN"/>
        </w:rPr>
        <w:t xml:space="preserve"> observation</w:t>
      </w:r>
      <w:r>
        <w:rPr>
          <w:lang w:bidi="hi-IN"/>
        </w:rPr>
        <w:t xml:space="preserve">, we think that higher layers should not be involved in configuration or reconfiguration of the </w:t>
      </w:r>
      <w:proofErr w:type="spellStart"/>
      <w:r>
        <w:rPr>
          <w:lang w:bidi="hi-IN"/>
        </w:rPr>
        <w:t>subframe</w:t>
      </w:r>
      <w:proofErr w:type="spellEnd"/>
      <w:r>
        <w:rPr>
          <w:lang w:bidi="hi-IN"/>
        </w:rPr>
        <w:t xml:space="preserve"> type in LAA. </w:t>
      </w:r>
    </w:p>
    <w:p w14:paraId="1CEF811C" w14:textId="03A94C7E" w:rsidR="00C0785B" w:rsidRDefault="00C0785B" w:rsidP="00F4702B">
      <w:pPr>
        <w:rPr>
          <w:b/>
          <w:lang w:bidi="hi-IN"/>
        </w:rPr>
      </w:pPr>
      <w:r w:rsidRPr="00C0785B">
        <w:rPr>
          <w:b/>
          <w:lang w:bidi="hi-IN"/>
        </w:rPr>
        <w:t xml:space="preserve">Proposal </w:t>
      </w:r>
      <w:r>
        <w:rPr>
          <w:b/>
          <w:lang w:bidi="hi-IN"/>
        </w:rPr>
        <w:t>3</w:t>
      </w:r>
      <w:r w:rsidRPr="00C0785B">
        <w:rPr>
          <w:b/>
          <w:lang w:bidi="hi-IN"/>
        </w:rPr>
        <w:t xml:space="preserve">: No higher layer signalling is assumed when the </w:t>
      </w:r>
      <w:proofErr w:type="spellStart"/>
      <w:r w:rsidRPr="00C0785B">
        <w:rPr>
          <w:b/>
          <w:lang w:bidi="hi-IN"/>
        </w:rPr>
        <w:t>subframe</w:t>
      </w:r>
      <w:proofErr w:type="spellEnd"/>
      <w:r w:rsidRPr="00C0785B">
        <w:rPr>
          <w:b/>
          <w:lang w:bidi="hi-IN"/>
        </w:rPr>
        <w:t xml:space="preserve"> type changes between UL to DL or vice versa in LAA</w:t>
      </w:r>
    </w:p>
    <w:p w14:paraId="03CD1AF1" w14:textId="694F1D54" w:rsidR="006D4BC3" w:rsidRDefault="00C0785B" w:rsidP="00F4702B">
      <w:pPr>
        <w:rPr>
          <w:lang w:bidi="hi-IN"/>
        </w:rPr>
      </w:pPr>
      <w:r>
        <w:rPr>
          <w:lang w:bidi="hi-IN"/>
        </w:rPr>
        <w:t>It should however be noted th</w:t>
      </w:r>
      <w:r w:rsidR="00C452BF">
        <w:rPr>
          <w:lang w:bidi="hi-IN"/>
        </w:rPr>
        <w:t xml:space="preserve">at the DRX configuration at the UE </w:t>
      </w:r>
      <w:r w:rsidR="00575A46">
        <w:rPr>
          <w:lang w:bidi="hi-IN"/>
        </w:rPr>
        <w:t xml:space="preserve">relies on the timing of the actual DL </w:t>
      </w:r>
      <w:proofErr w:type="spellStart"/>
      <w:r w:rsidR="00575A46">
        <w:rPr>
          <w:lang w:bidi="hi-IN"/>
        </w:rPr>
        <w:t>subframes</w:t>
      </w:r>
      <w:proofErr w:type="spellEnd"/>
      <w:r w:rsidR="004F76C6">
        <w:rPr>
          <w:lang w:bidi="hi-IN"/>
        </w:rPr>
        <w:t xml:space="preserve"> (in case of TDD)</w:t>
      </w:r>
      <w:r w:rsidR="00C452BF">
        <w:rPr>
          <w:lang w:bidi="hi-IN"/>
        </w:rPr>
        <w:t>. RRC configures the DRX cycle and h</w:t>
      </w:r>
      <w:r>
        <w:rPr>
          <w:lang w:bidi="hi-IN"/>
        </w:rPr>
        <w:t xml:space="preserve">ence, a basic assumption on which </w:t>
      </w:r>
      <w:proofErr w:type="spellStart"/>
      <w:r>
        <w:rPr>
          <w:lang w:bidi="hi-IN"/>
        </w:rPr>
        <w:t>subframes</w:t>
      </w:r>
      <w:proofErr w:type="spellEnd"/>
      <w:r>
        <w:rPr>
          <w:lang w:bidi="hi-IN"/>
        </w:rPr>
        <w:t xml:space="preserve"> are supposed to be DL </w:t>
      </w:r>
      <w:proofErr w:type="spellStart"/>
      <w:r>
        <w:rPr>
          <w:lang w:bidi="hi-IN"/>
        </w:rPr>
        <w:t>subframe</w:t>
      </w:r>
      <w:r w:rsidR="00EC6175">
        <w:rPr>
          <w:lang w:bidi="hi-IN"/>
        </w:rPr>
        <w:t>s</w:t>
      </w:r>
      <w:proofErr w:type="spellEnd"/>
      <w:r>
        <w:rPr>
          <w:lang w:bidi="hi-IN"/>
        </w:rPr>
        <w:t xml:space="preserve"> is necessary for </w:t>
      </w:r>
      <w:proofErr w:type="spellStart"/>
      <w:r>
        <w:rPr>
          <w:lang w:bidi="hi-IN"/>
        </w:rPr>
        <w:t>eLAA</w:t>
      </w:r>
      <w:proofErr w:type="spellEnd"/>
      <w:r w:rsidR="00C452BF">
        <w:rPr>
          <w:lang w:bidi="hi-IN"/>
        </w:rPr>
        <w:t xml:space="preserve"> from the RRC perspective</w:t>
      </w:r>
      <w:r>
        <w:rPr>
          <w:lang w:bidi="hi-IN"/>
        </w:rPr>
        <w:t xml:space="preserve">. One option to keep the complexity of the system low is to </w:t>
      </w:r>
      <w:r w:rsidR="004C4565">
        <w:rPr>
          <w:lang w:bidi="hi-IN"/>
        </w:rPr>
        <w:t>continue with</w:t>
      </w:r>
      <w:r>
        <w:rPr>
          <w:lang w:bidi="hi-IN"/>
        </w:rPr>
        <w:t xml:space="preserve"> the existing Rel-13 assumption that all </w:t>
      </w:r>
      <w:proofErr w:type="spellStart"/>
      <w:r>
        <w:rPr>
          <w:lang w:bidi="hi-IN"/>
        </w:rPr>
        <w:t>subframes</w:t>
      </w:r>
      <w:proofErr w:type="spellEnd"/>
      <w:r>
        <w:rPr>
          <w:lang w:bidi="hi-IN"/>
        </w:rPr>
        <w:t xml:space="preserve"> are DL </w:t>
      </w:r>
      <w:proofErr w:type="spellStart"/>
      <w:r>
        <w:rPr>
          <w:lang w:bidi="hi-IN"/>
        </w:rPr>
        <w:t>subframes</w:t>
      </w:r>
      <w:proofErr w:type="spellEnd"/>
      <w:r w:rsidR="00575A46">
        <w:rPr>
          <w:lang w:bidi="hi-IN"/>
        </w:rPr>
        <w:t xml:space="preserve"> (i.e. PDCCH </w:t>
      </w:r>
      <w:proofErr w:type="spellStart"/>
      <w:r w:rsidR="00575A46">
        <w:rPr>
          <w:lang w:bidi="hi-IN"/>
        </w:rPr>
        <w:t>subframes</w:t>
      </w:r>
      <w:proofErr w:type="spellEnd"/>
      <w:r w:rsidR="00575A46">
        <w:rPr>
          <w:lang w:bidi="hi-IN"/>
        </w:rPr>
        <w:t>)</w:t>
      </w:r>
      <w:r>
        <w:rPr>
          <w:lang w:bidi="hi-IN"/>
        </w:rPr>
        <w:t xml:space="preserve">. </w:t>
      </w:r>
      <w:r w:rsidR="00EC6175">
        <w:rPr>
          <w:lang w:bidi="hi-IN"/>
        </w:rPr>
        <w:t>With this assumption, f</w:t>
      </w:r>
      <w:r w:rsidR="00484883">
        <w:rPr>
          <w:lang w:bidi="hi-IN"/>
        </w:rPr>
        <w:t xml:space="preserve">rom the UE perspective, a </w:t>
      </w:r>
      <w:proofErr w:type="spellStart"/>
      <w:r w:rsidR="00484883">
        <w:rPr>
          <w:lang w:bidi="hi-IN"/>
        </w:rPr>
        <w:t>subframe</w:t>
      </w:r>
      <w:proofErr w:type="spellEnd"/>
      <w:r w:rsidR="00484883">
        <w:rPr>
          <w:lang w:bidi="hi-IN"/>
        </w:rPr>
        <w:t xml:space="preserve"> coinciding with its DRX ON duration </w:t>
      </w:r>
      <w:r w:rsidR="00C452BF">
        <w:rPr>
          <w:lang w:bidi="hi-IN"/>
        </w:rPr>
        <w:t xml:space="preserve">is always considered as a DL </w:t>
      </w:r>
      <w:proofErr w:type="spellStart"/>
      <w:r w:rsidR="00C452BF">
        <w:rPr>
          <w:lang w:bidi="hi-IN"/>
        </w:rPr>
        <w:t>subframe</w:t>
      </w:r>
      <w:proofErr w:type="spellEnd"/>
      <w:r w:rsidR="00C452BF">
        <w:rPr>
          <w:lang w:bidi="hi-IN"/>
        </w:rPr>
        <w:t>. However, in reality, it may</w:t>
      </w:r>
      <w:r w:rsidR="00484883">
        <w:rPr>
          <w:lang w:bidi="hi-IN"/>
        </w:rPr>
        <w:t xml:space="preserve"> or may not be a DL </w:t>
      </w:r>
      <w:proofErr w:type="spellStart"/>
      <w:r w:rsidR="00484883">
        <w:rPr>
          <w:lang w:bidi="hi-IN"/>
        </w:rPr>
        <w:t>subframe</w:t>
      </w:r>
      <w:proofErr w:type="spellEnd"/>
      <w:r w:rsidR="004F76C6">
        <w:rPr>
          <w:lang w:bidi="hi-IN"/>
        </w:rPr>
        <w:t xml:space="preserve"> (since the </w:t>
      </w:r>
      <w:proofErr w:type="spellStart"/>
      <w:r w:rsidR="004F76C6">
        <w:rPr>
          <w:lang w:bidi="hi-IN"/>
        </w:rPr>
        <w:t>eNB</w:t>
      </w:r>
      <w:proofErr w:type="spellEnd"/>
      <w:r w:rsidR="004F76C6">
        <w:rPr>
          <w:lang w:bidi="hi-IN"/>
        </w:rPr>
        <w:t xml:space="preserve"> may flexibly change the DL/UL configuration as per above)</w:t>
      </w:r>
      <w:r w:rsidR="00484883">
        <w:rPr>
          <w:lang w:bidi="hi-IN"/>
        </w:rPr>
        <w:t xml:space="preserve">. If the </w:t>
      </w:r>
      <w:proofErr w:type="spellStart"/>
      <w:r w:rsidR="00484883">
        <w:rPr>
          <w:lang w:bidi="hi-IN"/>
        </w:rPr>
        <w:t>subframe</w:t>
      </w:r>
      <w:proofErr w:type="spellEnd"/>
      <w:r w:rsidR="00C452BF">
        <w:rPr>
          <w:lang w:bidi="hi-IN"/>
        </w:rPr>
        <w:t xml:space="preserve"> coinciding with DRX ON duration</w:t>
      </w:r>
      <w:r w:rsidR="00484883">
        <w:rPr>
          <w:lang w:bidi="hi-IN"/>
        </w:rPr>
        <w:t xml:space="preserve"> happens to be an UL </w:t>
      </w:r>
      <w:proofErr w:type="spellStart"/>
      <w:r w:rsidR="00484883">
        <w:rPr>
          <w:lang w:bidi="hi-IN"/>
        </w:rPr>
        <w:t>subframe</w:t>
      </w:r>
      <w:proofErr w:type="spellEnd"/>
      <w:r w:rsidR="00484883">
        <w:rPr>
          <w:lang w:bidi="hi-IN"/>
        </w:rPr>
        <w:t xml:space="preserve">, the UE will simply not detect a PDCCH and hence will operate as if it is not scheduled. </w:t>
      </w:r>
      <w:r w:rsidR="004C4565">
        <w:rPr>
          <w:lang w:bidi="hi-IN"/>
        </w:rPr>
        <w:t xml:space="preserve">This will hence </w:t>
      </w:r>
      <w:r w:rsidR="00107359">
        <w:rPr>
          <w:lang w:bidi="hi-IN"/>
        </w:rPr>
        <w:t>minimise</w:t>
      </w:r>
      <w:r w:rsidR="004C4565">
        <w:rPr>
          <w:lang w:bidi="hi-IN"/>
        </w:rPr>
        <w:t xml:space="preserve"> changes to RAN2 specifications. </w:t>
      </w:r>
      <w:r w:rsidR="00E668B2">
        <w:rPr>
          <w:lang w:bidi="hi-IN"/>
        </w:rPr>
        <w:t xml:space="preserve">Note also that the situation in Rel-14 is not any different from Rel-13 where </w:t>
      </w:r>
      <w:r w:rsidR="00107359">
        <w:rPr>
          <w:lang w:bidi="hi-IN"/>
        </w:rPr>
        <w:t xml:space="preserve">the UE monitors </w:t>
      </w:r>
      <w:r w:rsidR="00E668B2">
        <w:rPr>
          <w:lang w:bidi="hi-IN"/>
        </w:rPr>
        <w:t xml:space="preserve">a given </w:t>
      </w:r>
      <w:proofErr w:type="spellStart"/>
      <w:r w:rsidR="00E668B2">
        <w:rPr>
          <w:lang w:bidi="hi-IN"/>
        </w:rPr>
        <w:t>subframe</w:t>
      </w:r>
      <w:proofErr w:type="spellEnd"/>
      <w:r w:rsidR="00E668B2">
        <w:rPr>
          <w:lang w:bidi="hi-IN"/>
        </w:rPr>
        <w:t xml:space="preserve"> </w:t>
      </w:r>
      <w:r w:rsidR="00107359">
        <w:rPr>
          <w:lang w:bidi="hi-IN"/>
        </w:rPr>
        <w:t>for PDCCH when PDCCH doesn’t actually exist</w:t>
      </w:r>
      <w:r w:rsidR="006D4BC3">
        <w:rPr>
          <w:lang w:bidi="hi-IN"/>
        </w:rPr>
        <w:t xml:space="preserve"> (</w:t>
      </w:r>
      <w:r w:rsidR="00107359">
        <w:rPr>
          <w:lang w:bidi="hi-IN"/>
        </w:rPr>
        <w:t xml:space="preserve">i.e. </w:t>
      </w:r>
      <w:r w:rsidR="006D4BC3">
        <w:rPr>
          <w:lang w:bidi="hi-IN"/>
        </w:rPr>
        <w:t xml:space="preserve">UE monitors </w:t>
      </w:r>
      <w:r w:rsidR="00107359">
        <w:rPr>
          <w:lang w:bidi="hi-IN"/>
        </w:rPr>
        <w:t xml:space="preserve">empty </w:t>
      </w:r>
      <w:proofErr w:type="spellStart"/>
      <w:r w:rsidR="006D4BC3">
        <w:rPr>
          <w:lang w:bidi="hi-IN"/>
        </w:rPr>
        <w:t>subframes</w:t>
      </w:r>
      <w:proofErr w:type="spellEnd"/>
      <w:r w:rsidR="006D4BC3">
        <w:rPr>
          <w:lang w:bidi="hi-IN"/>
        </w:rPr>
        <w:t xml:space="preserve"> </w:t>
      </w:r>
      <w:r w:rsidR="00107359">
        <w:rPr>
          <w:lang w:bidi="hi-IN"/>
        </w:rPr>
        <w:t xml:space="preserve">– e.g. </w:t>
      </w:r>
      <w:proofErr w:type="spellStart"/>
      <w:r w:rsidR="00107359">
        <w:rPr>
          <w:lang w:bidi="hi-IN"/>
        </w:rPr>
        <w:t>subframes</w:t>
      </w:r>
      <w:proofErr w:type="spellEnd"/>
      <w:r w:rsidR="00107359">
        <w:rPr>
          <w:lang w:bidi="hi-IN"/>
        </w:rPr>
        <w:t xml:space="preserve"> on which </w:t>
      </w:r>
      <w:proofErr w:type="spellStart"/>
      <w:r w:rsidR="00107359">
        <w:rPr>
          <w:lang w:bidi="hi-IN"/>
        </w:rPr>
        <w:t>eNB</w:t>
      </w:r>
      <w:proofErr w:type="spellEnd"/>
      <w:r w:rsidR="00107359">
        <w:rPr>
          <w:lang w:bidi="hi-IN"/>
        </w:rPr>
        <w:t xml:space="preserve"> doesn’t transmit due to LBT failure</w:t>
      </w:r>
      <w:r w:rsidR="006D4BC3">
        <w:rPr>
          <w:lang w:bidi="hi-IN"/>
        </w:rPr>
        <w:t>)</w:t>
      </w:r>
      <w:r w:rsidR="00E668B2">
        <w:rPr>
          <w:lang w:bidi="hi-IN"/>
        </w:rPr>
        <w:t>.</w:t>
      </w:r>
      <w:r w:rsidR="006D4BC3">
        <w:rPr>
          <w:lang w:bidi="hi-IN"/>
        </w:rPr>
        <w:t xml:space="preserve"> The following table </w:t>
      </w:r>
      <w:r w:rsidR="00107359">
        <w:rPr>
          <w:lang w:bidi="hi-IN"/>
        </w:rPr>
        <w:t xml:space="preserve">hence </w:t>
      </w:r>
      <w:r w:rsidR="006D4BC3">
        <w:rPr>
          <w:lang w:bidi="hi-IN"/>
        </w:rPr>
        <w:t xml:space="preserve">summarises the situation from UE perspective. </w:t>
      </w:r>
    </w:p>
    <w:p w14:paraId="76F5DA4F" w14:textId="31506095" w:rsidR="006D4BC3" w:rsidRDefault="006D4BC3" w:rsidP="006D4BC3">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UE behaviour during DRX ON duration</w:t>
      </w:r>
    </w:p>
    <w:tbl>
      <w:tblPr>
        <w:tblW w:w="6320" w:type="dxa"/>
        <w:jc w:val="center"/>
        <w:tblLook w:val="04A0" w:firstRow="1" w:lastRow="0" w:firstColumn="1" w:lastColumn="0" w:noHBand="0" w:noVBand="1"/>
      </w:tblPr>
      <w:tblGrid>
        <w:gridCol w:w="960"/>
        <w:gridCol w:w="1870"/>
        <w:gridCol w:w="3490"/>
      </w:tblGrid>
      <w:tr w:rsidR="006D4BC3" w:rsidRPr="006D4BC3" w14:paraId="00C5C6BF" w14:textId="77777777" w:rsidTr="006D4BC3">
        <w:trPr>
          <w:trHeight w:val="60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ABA75" w14:textId="77777777" w:rsidR="006D4BC3" w:rsidRPr="006D4BC3" w:rsidRDefault="006D4BC3" w:rsidP="006D4BC3">
            <w:pPr>
              <w:overflowPunct/>
              <w:autoSpaceDE/>
              <w:autoSpaceDN/>
              <w:adjustRightInd/>
              <w:spacing w:after="0"/>
              <w:jc w:val="center"/>
              <w:textAlignment w:val="auto"/>
              <w:rPr>
                <w:rFonts w:ascii="Calibri" w:hAnsi="Calibri"/>
                <w:b/>
                <w:bCs/>
                <w:sz w:val="22"/>
                <w:szCs w:val="22"/>
                <w:lang w:eastAsia="en-GB"/>
              </w:rPr>
            </w:pPr>
            <w:r w:rsidRPr="006D4BC3">
              <w:rPr>
                <w:rFonts w:ascii="Calibri" w:hAnsi="Calibri"/>
                <w:b/>
                <w:bCs/>
                <w:sz w:val="22"/>
                <w:szCs w:val="22"/>
                <w:lang w:eastAsia="en-GB"/>
              </w:rPr>
              <w:t>Release</w:t>
            </w:r>
          </w:p>
        </w:tc>
        <w:tc>
          <w:tcPr>
            <w:tcW w:w="1870" w:type="dxa"/>
            <w:tcBorders>
              <w:top w:val="single" w:sz="4" w:space="0" w:color="auto"/>
              <w:left w:val="nil"/>
              <w:bottom w:val="single" w:sz="4" w:space="0" w:color="auto"/>
              <w:right w:val="single" w:sz="4" w:space="0" w:color="auto"/>
            </w:tcBorders>
            <w:shd w:val="clear" w:color="auto" w:fill="auto"/>
            <w:vAlign w:val="center"/>
            <w:hideMark/>
          </w:tcPr>
          <w:p w14:paraId="2CAFE61C" w14:textId="77777777" w:rsidR="006D4BC3" w:rsidRPr="006D4BC3" w:rsidRDefault="006D4BC3" w:rsidP="006D4BC3">
            <w:pPr>
              <w:overflowPunct/>
              <w:autoSpaceDE/>
              <w:autoSpaceDN/>
              <w:adjustRightInd/>
              <w:spacing w:after="0"/>
              <w:jc w:val="center"/>
              <w:textAlignment w:val="auto"/>
              <w:rPr>
                <w:rFonts w:ascii="Calibri" w:hAnsi="Calibri"/>
                <w:b/>
                <w:bCs/>
                <w:sz w:val="22"/>
                <w:szCs w:val="22"/>
                <w:lang w:eastAsia="en-GB"/>
              </w:rPr>
            </w:pPr>
            <w:r w:rsidRPr="006D4BC3">
              <w:rPr>
                <w:rFonts w:ascii="Calibri" w:hAnsi="Calibri"/>
                <w:b/>
                <w:bCs/>
                <w:sz w:val="22"/>
                <w:szCs w:val="22"/>
                <w:lang w:eastAsia="en-GB"/>
              </w:rPr>
              <w:t xml:space="preserve">Actual </w:t>
            </w:r>
            <w:proofErr w:type="spellStart"/>
            <w:r w:rsidRPr="006D4BC3">
              <w:rPr>
                <w:rFonts w:ascii="Calibri" w:hAnsi="Calibri"/>
                <w:b/>
                <w:bCs/>
                <w:sz w:val="22"/>
                <w:szCs w:val="22"/>
                <w:lang w:eastAsia="en-GB"/>
              </w:rPr>
              <w:t>Subframe</w:t>
            </w:r>
            <w:proofErr w:type="spellEnd"/>
            <w:r w:rsidRPr="006D4BC3">
              <w:rPr>
                <w:rFonts w:ascii="Calibri" w:hAnsi="Calibri"/>
                <w:b/>
                <w:bCs/>
                <w:sz w:val="22"/>
                <w:szCs w:val="22"/>
                <w:lang w:eastAsia="en-GB"/>
              </w:rPr>
              <w:t xml:space="preserve"> type</w:t>
            </w:r>
          </w:p>
        </w:tc>
        <w:tc>
          <w:tcPr>
            <w:tcW w:w="3490" w:type="dxa"/>
            <w:tcBorders>
              <w:top w:val="single" w:sz="4" w:space="0" w:color="auto"/>
              <w:left w:val="nil"/>
              <w:bottom w:val="single" w:sz="4" w:space="0" w:color="auto"/>
              <w:right w:val="single" w:sz="4" w:space="0" w:color="auto"/>
            </w:tcBorders>
            <w:shd w:val="clear" w:color="auto" w:fill="auto"/>
            <w:vAlign w:val="center"/>
            <w:hideMark/>
          </w:tcPr>
          <w:p w14:paraId="731B7E36" w14:textId="77777777" w:rsidR="006D4BC3" w:rsidRPr="006D4BC3" w:rsidRDefault="006D4BC3" w:rsidP="006D4BC3">
            <w:pPr>
              <w:overflowPunct/>
              <w:autoSpaceDE/>
              <w:autoSpaceDN/>
              <w:adjustRightInd/>
              <w:spacing w:after="0"/>
              <w:jc w:val="center"/>
              <w:textAlignment w:val="auto"/>
              <w:rPr>
                <w:rFonts w:ascii="Calibri" w:hAnsi="Calibri"/>
                <w:b/>
                <w:bCs/>
                <w:sz w:val="22"/>
                <w:szCs w:val="22"/>
                <w:lang w:eastAsia="en-GB"/>
              </w:rPr>
            </w:pPr>
            <w:r w:rsidRPr="006D4BC3">
              <w:rPr>
                <w:rFonts w:ascii="Calibri" w:hAnsi="Calibri"/>
                <w:b/>
                <w:bCs/>
                <w:sz w:val="22"/>
                <w:szCs w:val="22"/>
                <w:lang w:eastAsia="en-GB"/>
              </w:rPr>
              <w:t>UE behaviour at DRX ON duration</w:t>
            </w:r>
          </w:p>
        </w:tc>
      </w:tr>
      <w:tr w:rsidR="006D4BC3" w:rsidRPr="006D4BC3" w14:paraId="3CDEE40F" w14:textId="77777777" w:rsidTr="006D4BC3">
        <w:trPr>
          <w:trHeight w:val="600"/>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14:paraId="3E663ADE" w14:textId="77777777" w:rsidR="006D4BC3" w:rsidRPr="006D4BC3" w:rsidRDefault="006D4BC3" w:rsidP="006D4BC3">
            <w:pPr>
              <w:overflowPunct/>
              <w:autoSpaceDE/>
              <w:autoSpaceDN/>
              <w:adjustRightInd/>
              <w:spacing w:after="0"/>
              <w:jc w:val="center"/>
              <w:textAlignment w:val="auto"/>
              <w:rPr>
                <w:rFonts w:ascii="Calibri" w:hAnsi="Calibri"/>
                <w:b/>
                <w:bCs/>
                <w:sz w:val="22"/>
                <w:szCs w:val="22"/>
                <w:lang w:eastAsia="en-GB"/>
              </w:rPr>
            </w:pPr>
            <w:r w:rsidRPr="006D4BC3">
              <w:rPr>
                <w:rFonts w:ascii="Calibri" w:hAnsi="Calibri"/>
                <w:b/>
                <w:bCs/>
                <w:sz w:val="22"/>
                <w:szCs w:val="22"/>
                <w:lang w:eastAsia="en-GB"/>
              </w:rPr>
              <w:t>Rel-13</w:t>
            </w:r>
          </w:p>
        </w:tc>
        <w:tc>
          <w:tcPr>
            <w:tcW w:w="1870" w:type="dxa"/>
            <w:tcBorders>
              <w:top w:val="nil"/>
              <w:left w:val="nil"/>
              <w:bottom w:val="single" w:sz="4" w:space="0" w:color="auto"/>
              <w:right w:val="single" w:sz="4" w:space="0" w:color="auto"/>
            </w:tcBorders>
            <w:shd w:val="clear" w:color="auto" w:fill="auto"/>
            <w:vAlign w:val="center"/>
            <w:hideMark/>
          </w:tcPr>
          <w:p w14:paraId="72ED3A4D" w14:textId="77777777" w:rsidR="006D4BC3" w:rsidRPr="006D4BC3" w:rsidRDefault="006D4BC3" w:rsidP="006D4BC3">
            <w:pPr>
              <w:overflowPunct/>
              <w:autoSpaceDE/>
              <w:autoSpaceDN/>
              <w:adjustRightInd/>
              <w:spacing w:after="0"/>
              <w:jc w:val="center"/>
              <w:textAlignment w:val="auto"/>
              <w:rPr>
                <w:rFonts w:ascii="Calibri" w:hAnsi="Calibri"/>
                <w:sz w:val="22"/>
                <w:szCs w:val="22"/>
                <w:lang w:eastAsia="en-GB"/>
              </w:rPr>
            </w:pPr>
            <w:r w:rsidRPr="006D4BC3">
              <w:rPr>
                <w:rFonts w:ascii="Calibri" w:hAnsi="Calibri"/>
                <w:sz w:val="22"/>
                <w:szCs w:val="22"/>
                <w:lang w:eastAsia="en-GB"/>
              </w:rPr>
              <w:t>DL</w:t>
            </w:r>
          </w:p>
        </w:tc>
        <w:tc>
          <w:tcPr>
            <w:tcW w:w="3490" w:type="dxa"/>
            <w:tcBorders>
              <w:top w:val="nil"/>
              <w:left w:val="nil"/>
              <w:bottom w:val="single" w:sz="4" w:space="0" w:color="auto"/>
              <w:right w:val="single" w:sz="4" w:space="0" w:color="auto"/>
            </w:tcBorders>
            <w:shd w:val="clear" w:color="auto" w:fill="auto"/>
            <w:vAlign w:val="center"/>
            <w:hideMark/>
          </w:tcPr>
          <w:p w14:paraId="11E2979C" w14:textId="77777777" w:rsidR="006D4BC3" w:rsidRPr="006D4BC3" w:rsidRDefault="006D4BC3" w:rsidP="006D4BC3">
            <w:pPr>
              <w:overflowPunct/>
              <w:autoSpaceDE/>
              <w:autoSpaceDN/>
              <w:adjustRightInd/>
              <w:spacing w:after="0"/>
              <w:jc w:val="center"/>
              <w:textAlignment w:val="auto"/>
              <w:rPr>
                <w:rFonts w:ascii="Calibri" w:hAnsi="Calibri"/>
                <w:sz w:val="22"/>
                <w:szCs w:val="22"/>
                <w:lang w:eastAsia="en-GB"/>
              </w:rPr>
            </w:pPr>
            <w:r w:rsidRPr="006D4BC3">
              <w:rPr>
                <w:rFonts w:ascii="Calibri" w:hAnsi="Calibri"/>
                <w:sz w:val="22"/>
                <w:szCs w:val="22"/>
                <w:lang w:eastAsia="en-GB"/>
              </w:rPr>
              <w:t>UE monitors PDCCH and acts on it if it is scheduled</w:t>
            </w:r>
          </w:p>
        </w:tc>
      </w:tr>
      <w:tr w:rsidR="006D4BC3" w:rsidRPr="006D4BC3" w14:paraId="3751541C" w14:textId="77777777" w:rsidTr="006D4BC3">
        <w:trPr>
          <w:trHeight w:val="600"/>
          <w:jc w:val="center"/>
        </w:trPr>
        <w:tc>
          <w:tcPr>
            <w:tcW w:w="960" w:type="dxa"/>
            <w:vMerge/>
            <w:tcBorders>
              <w:top w:val="nil"/>
              <w:left w:val="single" w:sz="4" w:space="0" w:color="auto"/>
              <w:bottom w:val="single" w:sz="4" w:space="0" w:color="000000"/>
              <w:right w:val="single" w:sz="4" w:space="0" w:color="auto"/>
            </w:tcBorders>
            <w:vAlign w:val="center"/>
            <w:hideMark/>
          </w:tcPr>
          <w:p w14:paraId="4DDFE99E" w14:textId="77777777" w:rsidR="006D4BC3" w:rsidRPr="006D4BC3" w:rsidRDefault="006D4BC3" w:rsidP="006D4BC3">
            <w:pPr>
              <w:overflowPunct/>
              <w:autoSpaceDE/>
              <w:autoSpaceDN/>
              <w:adjustRightInd/>
              <w:spacing w:after="0"/>
              <w:textAlignment w:val="auto"/>
              <w:rPr>
                <w:rFonts w:ascii="Calibri" w:hAnsi="Calibri"/>
                <w:b/>
                <w:bCs/>
                <w:sz w:val="22"/>
                <w:szCs w:val="22"/>
                <w:lang w:eastAsia="en-GB"/>
              </w:rPr>
            </w:pPr>
          </w:p>
        </w:tc>
        <w:tc>
          <w:tcPr>
            <w:tcW w:w="1870" w:type="dxa"/>
            <w:tcBorders>
              <w:top w:val="nil"/>
              <w:left w:val="nil"/>
              <w:bottom w:val="single" w:sz="4" w:space="0" w:color="auto"/>
              <w:right w:val="single" w:sz="4" w:space="0" w:color="auto"/>
            </w:tcBorders>
            <w:shd w:val="clear" w:color="auto" w:fill="auto"/>
            <w:vAlign w:val="center"/>
            <w:hideMark/>
          </w:tcPr>
          <w:p w14:paraId="221227E5" w14:textId="77777777" w:rsidR="006D4BC3" w:rsidRPr="006D4BC3" w:rsidRDefault="006D4BC3" w:rsidP="006D4BC3">
            <w:pPr>
              <w:overflowPunct/>
              <w:autoSpaceDE/>
              <w:autoSpaceDN/>
              <w:adjustRightInd/>
              <w:spacing w:after="0"/>
              <w:jc w:val="center"/>
              <w:textAlignment w:val="auto"/>
              <w:rPr>
                <w:rFonts w:ascii="Calibri" w:hAnsi="Calibri"/>
                <w:sz w:val="22"/>
                <w:szCs w:val="22"/>
                <w:lang w:eastAsia="en-GB"/>
              </w:rPr>
            </w:pPr>
            <w:r w:rsidRPr="006D4BC3">
              <w:rPr>
                <w:rFonts w:ascii="Calibri" w:hAnsi="Calibri"/>
                <w:sz w:val="22"/>
                <w:szCs w:val="22"/>
                <w:lang w:eastAsia="en-GB"/>
              </w:rPr>
              <w:t>Empty (LBT failed)</w:t>
            </w:r>
          </w:p>
        </w:tc>
        <w:tc>
          <w:tcPr>
            <w:tcW w:w="3490" w:type="dxa"/>
            <w:tcBorders>
              <w:top w:val="nil"/>
              <w:left w:val="nil"/>
              <w:bottom w:val="single" w:sz="4" w:space="0" w:color="auto"/>
              <w:right w:val="single" w:sz="4" w:space="0" w:color="auto"/>
            </w:tcBorders>
            <w:shd w:val="clear" w:color="000000" w:fill="FFFF00"/>
            <w:vAlign w:val="center"/>
            <w:hideMark/>
          </w:tcPr>
          <w:p w14:paraId="2D913956" w14:textId="40AC73E8" w:rsidR="006D4BC3" w:rsidRPr="006D4BC3" w:rsidRDefault="006D4BC3" w:rsidP="006D4BC3">
            <w:pPr>
              <w:overflowPunct/>
              <w:autoSpaceDE/>
              <w:autoSpaceDN/>
              <w:adjustRightInd/>
              <w:spacing w:after="0"/>
              <w:jc w:val="center"/>
              <w:textAlignment w:val="auto"/>
              <w:rPr>
                <w:rFonts w:ascii="Calibri" w:hAnsi="Calibri"/>
                <w:sz w:val="22"/>
                <w:szCs w:val="22"/>
                <w:lang w:eastAsia="en-GB"/>
              </w:rPr>
            </w:pPr>
            <w:r w:rsidRPr="006D4BC3">
              <w:rPr>
                <w:rFonts w:ascii="Calibri" w:hAnsi="Calibri"/>
                <w:sz w:val="22"/>
                <w:szCs w:val="22"/>
                <w:lang w:eastAsia="en-GB"/>
              </w:rPr>
              <w:t xml:space="preserve">UE monitors </w:t>
            </w:r>
            <w:r w:rsidR="00FA0D8F">
              <w:rPr>
                <w:rFonts w:ascii="Calibri" w:hAnsi="Calibri"/>
                <w:sz w:val="22"/>
                <w:szCs w:val="22"/>
                <w:lang w:eastAsia="en-GB"/>
              </w:rPr>
              <w:t xml:space="preserve">DL for PDCCH </w:t>
            </w:r>
            <w:r w:rsidRPr="006D4BC3">
              <w:rPr>
                <w:rFonts w:ascii="Calibri" w:hAnsi="Calibri"/>
                <w:sz w:val="22"/>
                <w:szCs w:val="22"/>
                <w:lang w:eastAsia="en-GB"/>
              </w:rPr>
              <w:t xml:space="preserve">but will not find </w:t>
            </w:r>
            <w:r w:rsidR="00FA0D8F">
              <w:rPr>
                <w:rFonts w:ascii="Calibri" w:hAnsi="Calibri"/>
                <w:sz w:val="22"/>
                <w:szCs w:val="22"/>
                <w:lang w:eastAsia="en-GB"/>
              </w:rPr>
              <w:t xml:space="preserve">any </w:t>
            </w:r>
            <w:r w:rsidRPr="006D4BC3">
              <w:rPr>
                <w:rFonts w:ascii="Calibri" w:hAnsi="Calibri"/>
                <w:sz w:val="22"/>
                <w:szCs w:val="22"/>
                <w:lang w:eastAsia="en-GB"/>
              </w:rPr>
              <w:t>scheduling info</w:t>
            </w:r>
          </w:p>
        </w:tc>
      </w:tr>
      <w:tr w:rsidR="006D4BC3" w:rsidRPr="006D4BC3" w14:paraId="7888613E" w14:textId="77777777" w:rsidTr="006D4BC3">
        <w:trPr>
          <w:trHeight w:val="600"/>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14:paraId="46149508" w14:textId="77777777" w:rsidR="006D4BC3" w:rsidRPr="006D4BC3" w:rsidRDefault="006D4BC3" w:rsidP="006D4BC3">
            <w:pPr>
              <w:overflowPunct/>
              <w:autoSpaceDE/>
              <w:autoSpaceDN/>
              <w:adjustRightInd/>
              <w:spacing w:after="0"/>
              <w:jc w:val="center"/>
              <w:textAlignment w:val="auto"/>
              <w:rPr>
                <w:rFonts w:ascii="Calibri" w:hAnsi="Calibri"/>
                <w:b/>
                <w:bCs/>
                <w:sz w:val="22"/>
                <w:szCs w:val="22"/>
                <w:lang w:eastAsia="en-GB"/>
              </w:rPr>
            </w:pPr>
            <w:r w:rsidRPr="006D4BC3">
              <w:rPr>
                <w:rFonts w:ascii="Calibri" w:hAnsi="Calibri"/>
                <w:b/>
                <w:bCs/>
                <w:sz w:val="22"/>
                <w:szCs w:val="22"/>
                <w:lang w:eastAsia="en-GB"/>
              </w:rPr>
              <w:t>Rel-14</w:t>
            </w:r>
          </w:p>
        </w:tc>
        <w:tc>
          <w:tcPr>
            <w:tcW w:w="1870" w:type="dxa"/>
            <w:tcBorders>
              <w:top w:val="nil"/>
              <w:left w:val="nil"/>
              <w:bottom w:val="single" w:sz="4" w:space="0" w:color="auto"/>
              <w:right w:val="single" w:sz="4" w:space="0" w:color="auto"/>
            </w:tcBorders>
            <w:shd w:val="clear" w:color="auto" w:fill="auto"/>
            <w:vAlign w:val="center"/>
            <w:hideMark/>
          </w:tcPr>
          <w:p w14:paraId="1EA62C19" w14:textId="77777777" w:rsidR="006D4BC3" w:rsidRPr="006D4BC3" w:rsidRDefault="006D4BC3" w:rsidP="006D4BC3">
            <w:pPr>
              <w:overflowPunct/>
              <w:autoSpaceDE/>
              <w:autoSpaceDN/>
              <w:adjustRightInd/>
              <w:spacing w:after="0"/>
              <w:jc w:val="center"/>
              <w:textAlignment w:val="auto"/>
              <w:rPr>
                <w:rFonts w:ascii="Calibri" w:hAnsi="Calibri"/>
                <w:sz w:val="22"/>
                <w:szCs w:val="22"/>
                <w:lang w:eastAsia="en-GB"/>
              </w:rPr>
            </w:pPr>
            <w:r w:rsidRPr="006D4BC3">
              <w:rPr>
                <w:rFonts w:ascii="Calibri" w:hAnsi="Calibri"/>
                <w:sz w:val="22"/>
                <w:szCs w:val="22"/>
                <w:lang w:eastAsia="en-GB"/>
              </w:rPr>
              <w:t>DL</w:t>
            </w:r>
          </w:p>
        </w:tc>
        <w:tc>
          <w:tcPr>
            <w:tcW w:w="3490" w:type="dxa"/>
            <w:tcBorders>
              <w:top w:val="nil"/>
              <w:left w:val="nil"/>
              <w:bottom w:val="single" w:sz="4" w:space="0" w:color="auto"/>
              <w:right w:val="single" w:sz="4" w:space="0" w:color="auto"/>
            </w:tcBorders>
            <w:shd w:val="clear" w:color="auto" w:fill="auto"/>
            <w:vAlign w:val="center"/>
            <w:hideMark/>
          </w:tcPr>
          <w:p w14:paraId="67F68CE7" w14:textId="77777777" w:rsidR="006D4BC3" w:rsidRPr="006D4BC3" w:rsidRDefault="006D4BC3" w:rsidP="006D4BC3">
            <w:pPr>
              <w:overflowPunct/>
              <w:autoSpaceDE/>
              <w:autoSpaceDN/>
              <w:adjustRightInd/>
              <w:spacing w:after="0"/>
              <w:jc w:val="center"/>
              <w:textAlignment w:val="auto"/>
              <w:rPr>
                <w:rFonts w:ascii="Calibri" w:hAnsi="Calibri"/>
                <w:sz w:val="22"/>
                <w:szCs w:val="22"/>
                <w:lang w:eastAsia="en-GB"/>
              </w:rPr>
            </w:pPr>
            <w:r w:rsidRPr="006D4BC3">
              <w:rPr>
                <w:rFonts w:ascii="Calibri" w:hAnsi="Calibri"/>
                <w:sz w:val="22"/>
                <w:szCs w:val="22"/>
                <w:lang w:eastAsia="en-GB"/>
              </w:rPr>
              <w:t>UE monitors PDCCH and acts on it if it is scheduled</w:t>
            </w:r>
          </w:p>
        </w:tc>
      </w:tr>
      <w:tr w:rsidR="006D4BC3" w:rsidRPr="006D4BC3" w14:paraId="7038006E" w14:textId="77777777" w:rsidTr="006D4BC3">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14:paraId="230773DF" w14:textId="77777777" w:rsidR="006D4BC3" w:rsidRPr="006D4BC3" w:rsidRDefault="006D4BC3" w:rsidP="006D4BC3">
            <w:pPr>
              <w:overflowPunct/>
              <w:autoSpaceDE/>
              <w:autoSpaceDN/>
              <w:adjustRightInd/>
              <w:spacing w:after="0"/>
              <w:textAlignment w:val="auto"/>
              <w:rPr>
                <w:rFonts w:ascii="Calibri" w:hAnsi="Calibri"/>
                <w:b/>
                <w:bCs/>
                <w:sz w:val="22"/>
                <w:szCs w:val="22"/>
                <w:lang w:eastAsia="en-GB"/>
              </w:rPr>
            </w:pPr>
          </w:p>
        </w:tc>
        <w:tc>
          <w:tcPr>
            <w:tcW w:w="1870" w:type="dxa"/>
            <w:tcBorders>
              <w:top w:val="nil"/>
              <w:left w:val="nil"/>
              <w:bottom w:val="single" w:sz="4" w:space="0" w:color="auto"/>
              <w:right w:val="single" w:sz="4" w:space="0" w:color="auto"/>
            </w:tcBorders>
            <w:shd w:val="clear" w:color="auto" w:fill="auto"/>
            <w:vAlign w:val="center"/>
            <w:hideMark/>
          </w:tcPr>
          <w:p w14:paraId="6FF4FEA9" w14:textId="77777777" w:rsidR="006D4BC3" w:rsidRPr="006D4BC3" w:rsidRDefault="006D4BC3" w:rsidP="006D4BC3">
            <w:pPr>
              <w:overflowPunct/>
              <w:autoSpaceDE/>
              <w:autoSpaceDN/>
              <w:adjustRightInd/>
              <w:spacing w:after="0"/>
              <w:jc w:val="center"/>
              <w:textAlignment w:val="auto"/>
              <w:rPr>
                <w:rFonts w:ascii="Calibri" w:hAnsi="Calibri"/>
                <w:sz w:val="22"/>
                <w:szCs w:val="22"/>
                <w:lang w:eastAsia="en-GB"/>
              </w:rPr>
            </w:pPr>
            <w:r w:rsidRPr="006D4BC3">
              <w:rPr>
                <w:rFonts w:ascii="Calibri" w:hAnsi="Calibri"/>
                <w:sz w:val="22"/>
                <w:szCs w:val="22"/>
                <w:lang w:eastAsia="en-GB"/>
              </w:rPr>
              <w:t>UL</w:t>
            </w:r>
          </w:p>
        </w:tc>
        <w:tc>
          <w:tcPr>
            <w:tcW w:w="3490" w:type="dxa"/>
            <w:vMerge w:val="restart"/>
            <w:tcBorders>
              <w:top w:val="nil"/>
              <w:left w:val="single" w:sz="4" w:space="0" w:color="auto"/>
              <w:bottom w:val="single" w:sz="4" w:space="0" w:color="auto"/>
              <w:right w:val="single" w:sz="4" w:space="0" w:color="auto"/>
            </w:tcBorders>
            <w:shd w:val="clear" w:color="000000" w:fill="FFFF00"/>
            <w:vAlign w:val="center"/>
            <w:hideMark/>
          </w:tcPr>
          <w:p w14:paraId="24DA92A1" w14:textId="6673DB80" w:rsidR="006D4BC3" w:rsidRPr="006D4BC3" w:rsidRDefault="00FA0D8F" w:rsidP="006D4BC3">
            <w:pPr>
              <w:overflowPunct/>
              <w:autoSpaceDE/>
              <w:autoSpaceDN/>
              <w:adjustRightInd/>
              <w:spacing w:after="0"/>
              <w:jc w:val="center"/>
              <w:textAlignment w:val="auto"/>
              <w:rPr>
                <w:rFonts w:ascii="Calibri" w:hAnsi="Calibri"/>
                <w:sz w:val="22"/>
                <w:szCs w:val="22"/>
                <w:lang w:eastAsia="en-GB"/>
              </w:rPr>
            </w:pPr>
            <w:r w:rsidRPr="006D4BC3">
              <w:rPr>
                <w:rFonts w:ascii="Calibri" w:hAnsi="Calibri"/>
                <w:sz w:val="22"/>
                <w:szCs w:val="22"/>
                <w:lang w:eastAsia="en-GB"/>
              </w:rPr>
              <w:t xml:space="preserve">UE monitors </w:t>
            </w:r>
            <w:r>
              <w:rPr>
                <w:rFonts w:ascii="Calibri" w:hAnsi="Calibri"/>
                <w:sz w:val="22"/>
                <w:szCs w:val="22"/>
                <w:lang w:eastAsia="en-GB"/>
              </w:rPr>
              <w:t xml:space="preserve">DL for PDCCH </w:t>
            </w:r>
            <w:r w:rsidRPr="006D4BC3">
              <w:rPr>
                <w:rFonts w:ascii="Calibri" w:hAnsi="Calibri"/>
                <w:sz w:val="22"/>
                <w:szCs w:val="22"/>
                <w:lang w:eastAsia="en-GB"/>
              </w:rPr>
              <w:t xml:space="preserve">but will not find </w:t>
            </w:r>
            <w:r>
              <w:rPr>
                <w:rFonts w:ascii="Calibri" w:hAnsi="Calibri"/>
                <w:sz w:val="22"/>
                <w:szCs w:val="22"/>
                <w:lang w:eastAsia="en-GB"/>
              </w:rPr>
              <w:t xml:space="preserve">any </w:t>
            </w:r>
            <w:r w:rsidRPr="006D4BC3">
              <w:rPr>
                <w:rFonts w:ascii="Calibri" w:hAnsi="Calibri"/>
                <w:sz w:val="22"/>
                <w:szCs w:val="22"/>
                <w:lang w:eastAsia="en-GB"/>
              </w:rPr>
              <w:t>scheduling info</w:t>
            </w:r>
          </w:p>
        </w:tc>
      </w:tr>
      <w:tr w:rsidR="006D4BC3" w:rsidRPr="006D4BC3" w14:paraId="602EB7DE" w14:textId="77777777" w:rsidTr="006D4BC3">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14:paraId="2F7562EA" w14:textId="77777777" w:rsidR="006D4BC3" w:rsidRPr="006D4BC3" w:rsidRDefault="006D4BC3" w:rsidP="006D4BC3">
            <w:pPr>
              <w:overflowPunct/>
              <w:autoSpaceDE/>
              <w:autoSpaceDN/>
              <w:adjustRightInd/>
              <w:spacing w:after="0"/>
              <w:textAlignment w:val="auto"/>
              <w:rPr>
                <w:rFonts w:ascii="Calibri" w:hAnsi="Calibri"/>
                <w:b/>
                <w:bCs/>
                <w:sz w:val="22"/>
                <w:szCs w:val="22"/>
                <w:lang w:eastAsia="en-GB"/>
              </w:rPr>
            </w:pPr>
          </w:p>
        </w:tc>
        <w:tc>
          <w:tcPr>
            <w:tcW w:w="1870" w:type="dxa"/>
            <w:tcBorders>
              <w:top w:val="nil"/>
              <w:left w:val="nil"/>
              <w:bottom w:val="single" w:sz="4" w:space="0" w:color="auto"/>
              <w:right w:val="single" w:sz="4" w:space="0" w:color="auto"/>
            </w:tcBorders>
            <w:shd w:val="clear" w:color="auto" w:fill="auto"/>
            <w:vAlign w:val="center"/>
            <w:hideMark/>
          </w:tcPr>
          <w:p w14:paraId="456074AA" w14:textId="77777777" w:rsidR="006D4BC3" w:rsidRPr="006D4BC3" w:rsidRDefault="006D4BC3" w:rsidP="006D4BC3">
            <w:pPr>
              <w:overflowPunct/>
              <w:autoSpaceDE/>
              <w:autoSpaceDN/>
              <w:adjustRightInd/>
              <w:spacing w:after="0"/>
              <w:jc w:val="center"/>
              <w:textAlignment w:val="auto"/>
              <w:rPr>
                <w:rFonts w:ascii="Calibri" w:hAnsi="Calibri"/>
                <w:sz w:val="22"/>
                <w:szCs w:val="22"/>
                <w:lang w:eastAsia="en-GB"/>
              </w:rPr>
            </w:pPr>
            <w:r w:rsidRPr="006D4BC3">
              <w:rPr>
                <w:rFonts w:ascii="Calibri" w:hAnsi="Calibri"/>
                <w:sz w:val="22"/>
                <w:szCs w:val="22"/>
                <w:lang w:eastAsia="en-GB"/>
              </w:rPr>
              <w:t>Empty (LBT failed)</w:t>
            </w:r>
          </w:p>
        </w:tc>
        <w:tc>
          <w:tcPr>
            <w:tcW w:w="3490" w:type="dxa"/>
            <w:vMerge/>
            <w:tcBorders>
              <w:top w:val="nil"/>
              <w:left w:val="single" w:sz="4" w:space="0" w:color="auto"/>
              <w:bottom w:val="single" w:sz="4" w:space="0" w:color="auto"/>
              <w:right w:val="single" w:sz="4" w:space="0" w:color="auto"/>
            </w:tcBorders>
            <w:vAlign w:val="center"/>
            <w:hideMark/>
          </w:tcPr>
          <w:p w14:paraId="20686671" w14:textId="77777777" w:rsidR="006D4BC3" w:rsidRPr="006D4BC3" w:rsidRDefault="006D4BC3" w:rsidP="006D4BC3">
            <w:pPr>
              <w:overflowPunct/>
              <w:autoSpaceDE/>
              <w:autoSpaceDN/>
              <w:adjustRightInd/>
              <w:spacing w:after="0"/>
              <w:textAlignment w:val="auto"/>
              <w:rPr>
                <w:rFonts w:ascii="Calibri" w:hAnsi="Calibri"/>
                <w:sz w:val="22"/>
                <w:szCs w:val="22"/>
                <w:lang w:eastAsia="en-GB"/>
              </w:rPr>
            </w:pPr>
          </w:p>
        </w:tc>
      </w:tr>
    </w:tbl>
    <w:p w14:paraId="42E4A8EA" w14:textId="77777777" w:rsidR="006D4BC3" w:rsidRDefault="006D4BC3" w:rsidP="00F4702B">
      <w:pPr>
        <w:rPr>
          <w:lang w:bidi="hi-IN"/>
        </w:rPr>
      </w:pPr>
    </w:p>
    <w:p w14:paraId="6B0F9E51" w14:textId="77777777" w:rsidR="00D82D5F" w:rsidRDefault="00D82D5F" w:rsidP="00F4702B">
      <w:pPr>
        <w:rPr>
          <w:lang w:bidi="hi-IN"/>
        </w:rPr>
      </w:pPr>
      <w:r>
        <w:rPr>
          <w:lang w:bidi="hi-IN"/>
        </w:rPr>
        <w:t>Given the above UE behaviour, i</w:t>
      </w:r>
      <w:r w:rsidR="00C0785B">
        <w:rPr>
          <w:lang w:bidi="hi-IN"/>
        </w:rPr>
        <w:t xml:space="preserve">t is then up to the </w:t>
      </w:r>
      <w:proofErr w:type="spellStart"/>
      <w:r w:rsidR="00C0785B">
        <w:rPr>
          <w:lang w:bidi="hi-IN"/>
        </w:rPr>
        <w:t>eNB</w:t>
      </w:r>
      <w:proofErr w:type="spellEnd"/>
      <w:r w:rsidR="00C0785B">
        <w:rPr>
          <w:lang w:bidi="hi-IN"/>
        </w:rPr>
        <w:t xml:space="preserve"> to ensure that sufficient DL </w:t>
      </w:r>
      <w:proofErr w:type="spellStart"/>
      <w:r w:rsidR="00C0785B">
        <w:rPr>
          <w:lang w:bidi="hi-IN"/>
        </w:rPr>
        <w:t>subframes</w:t>
      </w:r>
      <w:proofErr w:type="spellEnd"/>
      <w:r w:rsidR="00C0785B">
        <w:rPr>
          <w:lang w:bidi="hi-IN"/>
        </w:rPr>
        <w:t xml:space="preserve"> are </w:t>
      </w:r>
      <w:r w:rsidR="004F76C6">
        <w:rPr>
          <w:lang w:bidi="hi-IN"/>
        </w:rPr>
        <w:t>available during UE</w:t>
      </w:r>
      <w:r w:rsidR="00484883">
        <w:rPr>
          <w:lang w:bidi="hi-IN"/>
        </w:rPr>
        <w:t>s</w:t>
      </w:r>
      <w:r w:rsidR="004F76C6">
        <w:rPr>
          <w:lang w:bidi="hi-IN"/>
        </w:rPr>
        <w:t>’</w:t>
      </w:r>
      <w:r w:rsidR="00484883">
        <w:rPr>
          <w:lang w:bidi="hi-IN"/>
        </w:rPr>
        <w:t xml:space="preserve"> DRX ON duration to enable</w:t>
      </w:r>
      <w:r w:rsidR="00C452BF">
        <w:rPr>
          <w:lang w:bidi="hi-IN"/>
        </w:rPr>
        <w:t xml:space="preserve"> sufficient</w:t>
      </w:r>
      <w:r w:rsidR="00484883">
        <w:rPr>
          <w:lang w:bidi="hi-IN"/>
        </w:rPr>
        <w:t xml:space="preserve"> scheduling</w:t>
      </w:r>
      <w:r w:rsidR="00C452BF">
        <w:rPr>
          <w:lang w:bidi="hi-IN"/>
        </w:rPr>
        <w:t xml:space="preserve"> opportunities</w:t>
      </w:r>
      <w:r w:rsidR="00484883">
        <w:rPr>
          <w:lang w:bidi="hi-IN"/>
        </w:rPr>
        <w:t xml:space="preserve">. </w:t>
      </w:r>
      <w:r>
        <w:rPr>
          <w:lang w:bidi="hi-IN"/>
        </w:rPr>
        <w:t xml:space="preserve">Note that the </w:t>
      </w:r>
      <w:proofErr w:type="spellStart"/>
      <w:r>
        <w:rPr>
          <w:lang w:bidi="hi-IN"/>
        </w:rPr>
        <w:t>eNB</w:t>
      </w:r>
      <w:proofErr w:type="spellEnd"/>
      <w:r>
        <w:rPr>
          <w:lang w:bidi="hi-IN"/>
        </w:rPr>
        <w:t xml:space="preserve"> can ensure sufficient scheduling opportunities because of the following: </w:t>
      </w:r>
    </w:p>
    <w:p w14:paraId="31402897" w14:textId="77777777" w:rsidR="00D82D5F" w:rsidRPr="00D82D5F" w:rsidRDefault="00D82D5F" w:rsidP="00D82D5F">
      <w:pPr>
        <w:pStyle w:val="ListParagraph"/>
        <w:numPr>
          <w:ilvl w:val="0"/>
          <w:numId w:val="28"/>
        </w:numPr>
        <w:rPr>
          <w:color w:val="000000"/>
          <w:sz w:val="20"/>
          <w:szCs w:val="20"/>
          <w:lang w:val="en-GB" w:eastAsia="ja-JP" w:bidi="hi-IN"/>
        </w:rPr>
      </w:pPr>
      <w:proofErr w:type="spellStart"/>
      <w:r w:rsidRPr="00D82D5F">
        <w:rPr>
          <w:color w:val="000000"/>
          <w:sz w:val="20"/>
          <w:szCs w:val="20"/>
          <w:lang w:val="en-GB" w:eastAsia="ja-JP" w:bidi="hi-IN"/>
        </w:rPr>
        <w:t>eNB</w:t>
      </w:r>
      <w:proofErr w:type="spellEnd"/>
      <w:r w:rsidRPr="00D82D5F">
        <w:rPr>
          <w:color w:val="000000"/>
          <w:sz w:val="20"/>
          <w:szCs w:val="20"/>
          <w:lang w:val="en-GB" w:eastAsia="ja-JP" w:bidi="hi-IN"/>
        </w:rPr>
        <w:t xml:space="preserve"> is in control of DL/UL </w:t>
      </w:r>
      <w:proofErr w:type="spellStart"/>
      <w:r w:rsidRPr="00D82D5F">
        <w:rPr>
          <w:color w:val="000000"/>
          <w:sz w:val="20"/>
          <w:szCs w:val="20"/>
          <w:lang w:val="en-GB" w:eastAsia="ja-JP" w:bidi="hi-IN"/>
        </w:rPr>
        <w:t>subframe</w:t>
      </w:r>
      <w:proofErr w:type="spellEnd"/>
      <w:r w:rsidRPr="00D82D5F">
        <w:rPr>
          <w:color w:val="000000"/>
          <w:sz w:val="20"/>
          <w:szCs w:val="20"/>
          <w:lang w:val="en-GB" w:eastAsia="ja-JP" w:bidi="hi-IN"/>
        </w:rPr>
        <w:t xml:space="preserve"> configuration in each TXOP</w:t>
      </w:r>
    </w:p>
    <w:p w14:paraId="3FC3F3E1" w14:textId="35051339" w:rsidR="00D82D5F" w:rsidRPr="00D82D5F" w:rsidRDefault="00D82D5F" w:rsidP="00D82D5F">
      <w:pPr>
        <w:pStyle w:val="ListParagraph"/>
        <w:numPr>
          <w:ilvl w:val="0"/>
          <w:numId w:val="28"/>
        </w:numPr>
        <w:rPr>
          <w:color w:val="000000"/>
          <w:sz w:val="20"/>
          <w:szCs w:val="20"/>
          <w:lang w:val="en-GB" w:eastAsia="ja-JP" w:bidi="hi-IN"/>
        </w:rPr>
      </w:pPr>
      <w:r w:rsidRPr="00D82D5F">
        <w:rPr>
          <w:color w:val="000000"/>
          <w:sz w:val="20"/>
          <w:szCs w:val="20"/>
          <w:lang w:val="en-GB" w:eastAsia="ja-JP" w:bidi="hi-IN"/>
        </w:rPr>
        <w:t xml:space="preserve">Compared to Rel-13, the PDCCH in Rel-14 is much more flexible and enables scheduling multiple UL </w:t>
      </w:r>
      <w:proofErr w:type="spellStart"/>
      <w:r w:rsidRPr="00D82D5F">
        <w:rPr>
          <w:color w:val="000000"/>
          <w:sz w:val="20"/>
          <w:szCs w:val="20"/>
          <w:lang w:val="en-GB" w:eastAsia="ja-JP" w:bidi="hi-IN"/>
        </w:rPr>
        <w:t>subframes</w:t>
      </w:r>
      <w:proofErr w:type="spellEnd"/>
      <w:r w:rsidRPr="00D82D5F">
        <w:rPr>
          <w:color w:val="000000"/>
          <w:sz w:val="20"/>
          <w:szCs w:val="20"/>
          <w:lang w:val="en-GB" w:eastAsia="ja-JP" w:bidi="hi-IN"/>
        </w:rPr>
        <w:t xml:space="preserve"> with flexible timing between the DL grant and UL transmission [2]</w:t>
      </w:r>
      <w:r w:rsidR="00107359">
        <w:rPr>
          <w:color w:val="000000"/>
          <w:sz w:val="20"/>
          <w:szCs w:val="20"/>
          <w:lang w:val="en-GB" w:eastAsia="ja-JP" w:bidi="hi-IN"/>
        </w:rPr>
        <w:t xml:space="preserve"> (this hence increases the scheduling opportunities with a single DL </w:t>
      </w:r>
      <w:proofErr w:type="spellStart"/>
      <w:r w:rsidR="00107359">
        <w:rPr>
          <w:color w:val="000000"/>
          <w:sz w:val="20"/>
          <w:szCs w:val="20"/>
          <w:lang w:val="en-GB" w:eastAsia="ja-JP" w:bidi="hi-IN"/>
        </w:rPr>
        <w:t>subframe</w:t>
      </w:r>
      <w:proofErr w:type="spellEnd"/>
      <w:r w:rsidR="00107359">
        <w:rPr>
          <w:color w:val="000000"/>
          <w:sz w:val="20"/>
          <w:szCs w:val="20"/>
          <w:lang w:val="en-GB" w:eastAsia="ja-JP" w:bidi="hi-IN"/>
        </w:rPr>
        <w:t>)</w:t>
      </w:r>
    </w:p>
    <w:p w14:paraId="60D78814" w14:textId="648A059B" w:rsidR="00107359" w:rsidRDefault="00D82D5F" w:rsidP="00D82D5F">
      <w:pPr>
        <w:pStyle w:val="ListParagraph"/>
        <w:numPr>
          <w:ilvl w:val="0"/>
          <w:numId w:val="28"/>
        </w:numPr>
        <w:rPr>
          <w:color w:val="000000"/>
          <w:sz w:val="20"/>
          <w:szCs w:val="20"/>
          <w:lang w:val="en-GB" w:eastAsia="ja-JP" w:bidi="hi-IN"/>
        </w:rPr>
      </w:pPr>
      <w:r w:rsidRPr="00D82D5F">
        <w:rPr>
          <w:color w:val="000000"/>
          <w:sz w:val="20"/>
          <w:szCs w:val="20"/>
          <w:lang w:val="en-GB" w:eastAsia="ja-JP" w:bidi="hi-IN"/>
        </w:rPr>
        <w:t>C</w:t>
      </w:r>
      <w:r w:rsidR="00484883" w:rsidRPr="00D82D5F">
        <w:rPr>
          <w:color w:val="000000"/>
          <w:sz w:val="20"/>
          <w:szCs w:val="20"/>
          <w:lang w:val="en-GB" w:eastAsia="ja-JP" w:bidi="hi-IN"/>
        </w:rPr>
        <w:t>ross carrier scheduling is</w:t>
      </w:r>
      <w:r w:rsidR="00C452BF" w:rsidRPr="00D82D5F">
        <w:rPr>
          <w:color w:val="000000"/>
          <w:sz w:val="20"/>
          <w:szCs w:val="20"/>
          <w:lang w:val="en-GB" w:eastAsia="ja-JP" w:bidi="hi-IN"/>
        </w:rPr>
        <w:t xml:space="preserve"> </w:t>
      </w:r>
      <w:r w:rsidR="00575A46" w:rsidRPr="00D82D5F">
        <w:rPr>
          <w:color w:val="000000"/>
          <w:sz w:val="20"/>
          <w:szCs w:val="20"/>
          <w:lang w:val="en-GB" w:eastAsia="ja-JP" w:bidi="hi-IN"/>
        </w:rPr>
        <w:t>also</w:t>
      </w:r>
      <w:r w:rsidR="00484883" w:rsidRPr="00D82D5F">
        <w:rPr>
          <w:color w:val="000000"/>
          <w:sz w:val="20"/>
          <w:szCs w:val="20"/>
          <w:lang w:val="en-GB" w:eastAsia="ja-JP" w:bidi="hi-IN"/>
        </w:rPr>
        <w:t xml:space="preserve"> possible (in case the DRX opportunities become the bottleneck for scheduling). </w:t>
      </w:r>
      <w:r w:rsidR="00C452BF" w:rsidRPr="00D82D5F">
        <w:rPr>
          <w:color w:val="000000"/>
          <w:sz w:val="20"/>
          <w:szCs w:val="20"/>
          <w:lang w:val="en-GB" w:eastAsia="ja-JP" w:bidi="hi-IN"/>
        </w:rPr>
        <w:t xml:space="preserve">By using cross carrier scheduling with the PDCCH grants on the licensed carrier, the </w:t>
      </w:r>
      <w:proofErr w:type="spellStart"/>
      <w:r w:rsidR="00C452BF" w:rsidRPr="00D82D5F">
        <w:rPr>
          <w:color w:val="000000"/>
          <w:sz w:val="20"/>
          <w:szCs w:val="20"/>
          <w:lang w:val="en-GB" w:eastAsia="ja-JP" w:bidi="hi-IN"/>
        </w:rPr>
        <w:t>eNB</w:t>
      </w:r>
      <w:proofErr w:type="spellEnd"/>
      <w:r w:rsidR="00C452BF" w:rsidRPr="00D82D5F">
        <w:rPr>
          <w:color w:val="000000"/>
          <w:sz w:val="20"/>
          <w:szCs w:val="20"/>
          <w:lang w:val="en-GB" w:eastAsia="ja-JP" w:bidi="hi-IN"/>
        </w:rPr>
        <w:t xml:space="preserve"> can always ensure sufficient scheduling opportunities in any case. </w:t>
      </w:r>
    </w:p>
    <w:p w14:paraId="1E05E96C" w14:textId="77777777" w:rsidR="00107359" w:rsidRDefault="00107359" w:rsidP="00107359">
      <w:pPr>
        <w:pStyle w:val="ListParagraph"/>
        <w:rPr>
          <w:color w:val="000000"/>
          <w:sz w:val="20"/>
          <w:szCs w:val="20"/>
          <w:lang w:val="en-GB" w:eastAsia="ja-JP" w:bidi="hi-IN"/>
        </w:rPr>
      </w:pPr>
      <w:bookmarkStart w:id="0" w:name="_GoBack"/>
      <w:bookmarkEnd w:id="0"/>
    </w:p>
    <w:p w14:paraId="10E8372C" w14:textId="1D7F12A8" w:rsidR="00C0785B" w:rsidRPr="00107359" w:rsidRDefault="00C452BF" w:rsidP="00107359">
      <w:pPr>
        <w:rPr>
          <w:lang w:bidi="hi-IN"/>
        </w:rPr>
      </w:pPr>
      <w:r w:rsidRPr="00107359">
        <w:rPr>
          <w:lang w:bidi="hi-IN"/>
        </w:rPr>
        <w:t xml:space="preserve">Hence, no further </w:t>
      </w:r>
      <w:r w:rsidR="00575A46" w:rsidRPr="00107359">
        <w:rPr>
          <w:lang w:bidi="hi-IN"/>
        </w:rPr>
        <w:t>changes</w:t>
      </w:r>
      <w:r w:rsidRPr="00107359">
        <w:rPr>
          <w:lang w:bidi="hi-IN"/>
        </w:rPr>
        <w:t xml:space="preserve"> are necessary for DRX handling in Rel-14 for </w:t>
      </w:r>
      <w:proofErr w:type="spellStart"/>
      <w:r w:rsidRPr="00107359">
        <w:rPr>
          <w:lang w:bidi="hi-IN"/>
        </w:rPr>
        <w:t>eLAA</w:t>
      </w:r>
      <w:proofErr w:type="spellEnd"/>
      <w:r w:rsidRPr="00107359">
        <w:rPr>
          <w:lang w:bidi="hi-IN"/>
        </w:rPr>
        <w:t xml:space="preserve">. </w:t>
      </w:r>
    </w:p>
    <w:p w14:paraId="1010F800" w14:textId="0A9FC717" w:rsidR="00484883" w:rsidRPr="00484883" w:rsidRDefault="00484883" w:rsidP="00F4702B">
      <w:pPr>
        <w:rPr>
          <w:b/>
          <w:lang w:bidi="hi-IN"/>
        </w:rPr>
      </w:pPr>
      <w:r w:rsidRPr="00484883">
        <w:rPr>
          <w:b/>
          <w:lang w:bidi="hi-IN"/>
        </w:rPr>
        <w:t xml:space="preserve">Proposal 4: </w:t>
      </w:r>
      <w:r w:rsidR="00F51D68">
        <w:rPr>
          <w:b/>
          <w:lang w:bidi="hi-IN"/>
        </w:rPr>
        <w:t xml:space="preserve">For </w:t>
      </w:r>
      <w:proofErr w:type="spellStart"/>
      <w:r w:rsidR="00F51D68">
        <w:rPr>
          <w:b/>
          <w:lang w:bidi="hi-IN"/>
        </w:rPr>
        <w:t>eLAA</w:t>
      </w:r>
      <w:proofErr w:type="spellEnd"/>
      <w:r w:rsidR="00F51D68">
        <w:rPr>
          <w:b/>
          <w:lang w:bidi="hi-IN"/>
        </w:rPr>
        <w:t>, t</w:t>
      </w:r>
      <w:r w:rsidR="000F1B10">
        <w:rPr>
          <w:b/>
          <w:lang w:bidi="hi-IN"/>
        </w:rPr>
        <w:t xml:space="preserve">he </w:t>
      </w:r>
      <w:r w:rsidRPr="00484883">
        <w:rPr>
          <w:b/>
          <w:lang w:bidi="hi-IN"/>
        </w:rPr>
        <w:t xml:space="preserve">UE assumes that all </w:t>
      </w:r>
      <w:proofErr w:type="spellStart"/>
      <w:r w:rsidRPr="00484883">
        <w:rPr>
          <w:b/>
          <w:lang w:bidi="hi-IN"/>
        </w:rPr>
        <w:t>subframes</w:t>
      </w:r>
      <w:proofErr w:type="spellEnd"/>
      <w:r w:rsidRPr="00484883">
        <w:rPr>
          <w:b/>
          <w:lang w:bidi="hi-IN"/>
        </w:rPr>
        <w:t xml:space="preserve"> </w:t>
      </w:r>
      <w:r w:rsidR="00F51D68">
        <w:rPr>
          <w:b/>
          <w:lang w:bidi="hi-IN"/>
        </w:rPr>
        <w:t xml:space="preserve">(except the </w:t>
      </w:r>
      <w:proofErr w:type="spellStart"/>
      <w:r w:rsidR="00F51D68">
        <w:rPr>
          <w:b/>
          <w:lang w:bidi="hi-IN"/>
        </w:rPr>
        <w:t>subframes</w:t>
      </w:r>
      <w:proofErr w:type="spellEnd"/>
      <w:r w:rsidR="00F51D68">
        <w:rPr>
          <w:b/>
          <w:lang w:bidi="hi-IN"/>
        </w:rPr>
        <w:t xml:space="preserve"> on which it is scheduled for UL) </w:t>
      </w:r>
      <w:r w:rsidRPr="00484883">
        <w:rPr>
          <w:b/>
          <w:lang w:bidi="hi-IN"/>
        </w:rPr>
        <w:t xml:space="preserve">are PDCCH </w:t>
      </w:r>
      <w:proofErr w:type="spellStart"/>
      <w:r w:rsidRPr="00484883">
        <w:rPr>
          <w:b/>
          <w:lang w:bidi="hi-IN"/>
        </w:rPr>
        <w:t>subframes</w:t>
      </w:r>
      <w:proofErr w:type="spellEnd"/>
      <w:r w:rsidRPr="00484883">
        <w:rPr>
          <w:b/>
          <w:lang w:bidi="hi-IN"/>
        </w:rPr>
        <w:t xml:space="preserve"> </w:t>
      </w:r>
    </w:p>
    <w:p w14:paraId="17745520" w14:textId="579281E8" w:rsidR="00484883" w:rsidRPr="00484883" w:rsidRDefault="00484883" w:rsidP="00F4702B">
      <w:pPr>
        <w:rPr>
          <w:b/>
          <w:lang w:bidi="hi-IN"/>
        </w:rPr>
      </w:pPr>
      <w:r w:rsidRPr="00484883">
        <w:rPr>
          <w:b/>
          <w:lang w:bidi="hi-IN"/>
        </w:rPr>
        <w:t xml:space="preserve">Proposal 5: </w:t>
      </w:r>
      <w:r w:rsidR="000F1B10">
        <w:rPr>
          <w:b/>
          <w:lang w:bidi="hi-IN"/>
        </w:rPr>
        <w:t xml:space="preserve">The </w:t>
      </w:r>
      <w:proofErr w:type="spellStart"/>
      <w:r w:rsidRPr="00484883">
        <w:rPr>
          <w:b/>
          <w:lang w:bidi="hi-IN"/>
        </w:rPr>
        <w:t>eNB</w:t>
      </w:r>
      <w:proofErr w:type="spellEnd"/>
      <w:r w:rsidRPr="00484883">
        <w:rPr>
          <w:b/>
          <w:lang w:bidi="hi-IN"/>
        </w:rPr>
        <w:t xml:space="preserve"> </w:t>
      </w:r>
      <w:r w:rsidR="000F1B10" w:rsidRPr="00484883">
        <w:rPr>
          <w:b/>
          <w:lang w:bidi="hi-IN"/>
        </w:rPr>
        <w:t xml:space="preserve">either ensures </w:t>
      </w:r>
      <w:r w:rsidRPr="00484883">
        <w:rPr>
          <w:b/>
          <w:lang w:bidi="hi-IN"/>
        </w:rPr>
        <w:t xml:space="preserve">that </w:t>
      </w:r>
      <w:r w:rsidR="000F1B10">
        <w:rPr>
          <w:b/>
          <w:lang w:bidi="hi-IN"/>
        </w:rPr>
        <w:t xml:space="preserve">there is </w:t>
      </w:r>
      <w:r w:rsidRPr="00484883">
        <w:rPr>
          <w:b/>
          <w:lang w:bidi="hi-IN"/>
        </w:rPr>
        <w:t xml:space="preserve">sufficient number of DL </w:t>
      </w:r>
      <w:proofErr w:type="spellStart"/>
      <w:r w:rsidRPr="00484883">
        <w:rPr>
          <w:b/>
          <w:lang w:bidi="hi-IN"/>
        </w:rPr>
        <w:t>subframes</w:t>
      </w:r>
      <w:proofErr w:type="spellEnd"/>
      <w:r w:rsidRPr="00484883">
        <w:rPr>
          <w:b/>
          <w:lang w:bidi="hi-IN"/>
        </w:rPr>
        <w:t xml:space="preserve"> to enable scheduling opportunities for each UE or uses cross-carrier scheduling </w:t>
      </w:r>
      <w:r w:rsidR="00C452BF">
        <w:rPr>
          <w:b/>
          <w:lang w:bidi="hi-IN"/>
        </w:rPr>
        <w:t xml:space="preserve">(e.g. </w:t>
      </w:r>
      <w:r w:rsidRPr="00484883">
        <w:rPr>
          <w:b/>
          <w:lang w:bidi="hi-IN"/>
        </w:rPr>
        <w:t xml:space="preserve">if availability of DL </w:t>
      </w:r>
      <w:proofErr w:type="spellStart"/>
      <w:r w:rsidRPr="00484883">
        <w:rPr>
          <w:b/>
          <w:lang w:bidi="hi-IN"/>
        </w:rPr>
        <w:t>subframes</w:t>
      </w:r>
      <w:proofErr w:type="spellEnd"/>
      <w:r w:rsidRPr="00484883">
        <w:rPr>
          <w:b/>
          <w:lang w:bidi="hi-IN"/>
        </w:rPr>
        <w:t xml:space="preserve"> during UE’s DRX ON Duration becomes the bottleneck</w:t>
      </w:r>
      <w:r w:rsidR="00C452BF">
        <w:rPr>
          <w:b/>
          <w:lang w:bidi="hi-IN"/>
        </w:rPr>
        <w:t>)</w:t>
      </w:r>
    </w:p>
    <w:p w14:paraId="39F25801" w14:textId="37BF3858" w:rsidR="00BD6BCC" w:rsidRPr="004C7AC1" w:rsidRDefault="00DA4CFD" w:rsidP="004C7AC1">
      <w:pPr>
        <w:pStyle w:val="Heading1"/>
        <w:numPr>
          <w:ilvl w:val="0"/>
          <w:numId w:val="7"/>
        </w:numPr>
        <w:rPr>
          <w:sz w:val="28"/>
        </w:rPr>
      </w:pPr>
      <w:r>
        <w:rPr>
          <w:sz w:val="28"/>
        </w:rPr>
        <w:t xml:space="preserve">Observations and </w:t>
      </w:r>
      <w:r w:rsidR="004C7AC1" w:rsidRPr="004C7AC1">
        <w:rPr>
          <w:sz w:val="28"/>
        </w:rPr>
        <w:t>Proposals</w:t>
      </w:r>
    </w:p>
    <w:p w14:paraId="4AF00BBF" w14:textId="77777777" w:rsidR="000F1B10" w:rsidRDefault="000F1B10" w:rsidP="000F1B10">
      <w:pPr>
        <w:rPr>
          <w:b/>
          <w:lang w:bidi="hi-IN"/>
        </w:rPr>
      </w:pPr>
      <w:r w:rsidRPr="004B2629">
        <w:rPr>
          <w:b/>
          <w:lang w:bidi="hi-IN"/>
        </w:rPr>
        <w:t>Proposal 1: RAN 2 should discuss and agree on which entity is responsible for routing decisions</w:t>
      </w:r>
    </w:p>
    <w:p w14:paraId="75FF8ACE" w14:textId="77777777" w:rsidR="000F1B10" w:rsidRDefault="000F1B10" w:rsidP="000F1B10">
      <w:pPr>
        <w:rPr>
          <w:b/>
          <w:lang w:bidi="hi-IN"/>
        </w:rPr>
      </w:pPr>
      <w:r>
        <w:rPr>
          <w:b/>
          <w:lang w:bidi="hi-IN"/>
        </w:rPr>
        <w:lastRenderedPageBreak/>
        <w:tab/>
        <w:t xml:space="preserve">Option 1: The </w:t>
      </w:r>
      <w:proofErr w:type="spellStart"/>
      <w:r>
        <w:rPr>
          <w:b/>
          <w:lang w:bidi="hi-IN"/>
        </w:rPr>
        <w:t>eNB</w:t>
      </w:r>
      <w:proofErr w:type="spellEnd"/>
      <w:r>
        <w:rPr>
          <w:b/>
          <w:lang w:bidi="hi-IN"/>
        </w:rPr>
        <w:t xml:space="preserve"> decides the routing based on </w:t>
      </w:r>
      <w:proofErr w:type="spellStart"/>
      <w:r>
        <w:rPr>
          <w:b/>
          <w:lang w:bidi="hi-IN"/>
        </w:rPr>
        <w:t>QoS</w:t>
      </w:r>
      <w:proofErr w:type="spellEnd"/>
      <w:r>
        <w:rPr>
          <w:b/>
          <w:lang w:bidi="hi-IN"/>
        </w:rPr>
        <w:t xml:space="preserve"> information</w:t>
      </w:r>
    </w:p>
    <w:p w14:paraId="677CFAAB" w14:textId="77777777" w:rsidR="000F1B10" w:rsidRPr="004B2629" w:rsidRDefault="000F1B10" w:rsidP="000F1B10">
      <w:pPr>
        <w:rPr>
          <w:b/>
          <w:lang w:bidi="hi-IN"/>
        </w:rPr>
      </w:pPr>
      <w:r>
        <w:rPr>
          <w:b/>
          <w:lang w:bidi="hi-IN"/>
        </w:rPr>
        <w:tab/>
        <w:t xml:space="preserve">Option 2: The </w:t>
      </w:r>
      <w:r w:rsidRPr="00C0785B">
        <w:rPr>
          <w:b/>
          <w:lang w:bidi="hi-IN"/>
        </w:rPr>
        <w:t xml:space="preserve">Core network (e.g. MME) </w:t>
      </w:r>
      <w:r>
        <w:rPr>
          <w:b/>
          <w:lang w:bidi="hi-IN"/>
        </w:rPr>
        <w:t>influences</w:t>
      </w:r>
      <w:r w:rsidRPr="00C0785B">
        <w:rPr>
          <w:b/>
          <w:lang w:bidi="hi-IN"/>
        </w:rPr>
        <w:t xml:space="preserve"> the routing </w:t>
      </w:r>
      <w:r>
        <w:rPr>
          <w:b/>
          <w:lang w:bidi="hi-IN"/>
        </w:rPr>
        <w:t xml:space="preserve">decisions </w:t>
      </w:r>
      <w:r w:rsidRPr="00C0785B">
        <w:rPr>
          <w:b/>
          <w:lang w:bidi="hi-IN"/>
        </w:rPr>
        <w:t xml:space="preserve">and informs the </w:t>
      </w:r>
      <w:proofErr w:type="spellStart"/>
      <w:r w:rsidRPr="00C0785B">
        <w:rPr>
          <w:b/>
          <w:lang w:bidi="hi-IN"/>
        </w:rPr>
        <w:t>eNB</w:t>
      </w:r>
      <w:proofErr w:type="spellEnd"/>
    </w:p>
    <w:p w14:paraId="47B41E87" w14:textId="77777777" w:rsidR="000F1B10" w:rsidRPr="004B2629" w:rsidRDefault="000F1B10" w:rsidP="000F1B10">
      <w:pPr>
        <w:rPr>
          <w:b/>
          <w:lang w:bidi="hi-IN"/>
        </w:rPr>
      </w:pPr>
      <w:r w:rsidRPr="004B2629">
        <w:rPr>
          <w:b/>
          <w:lang w:bidi="hi-IN"/>
        </w:rPr>
        <w:t xml:space="preserve">Proposal 2: If it is agreed that the routing decisions are to be exposed to </w:t>
      </w:r>
      <w:r>
        <w:rPr>
          <w:b/>
          <w:lang w:bidi="hi-IN"/>
        </w:rPr>
        <w:t xml:space="preserve">the </w:t>
      </w:r>
      <w:r w:rsidRPr="004B2629">
        <w:rPr>
          <w:b/>
          <w:lang w:bidi="hi-IN"/>
        </w:rPr>
        <w:t>core network, then an LS should be sent to SA2/RAN3 to define the necessary signalling to enable this</w:t>
      </w:r>
    </w:p>
    <w:p w14:paraId="1331A460" w14:textId="77777777" w:rsidR="000F1B10" w:rsidRDefault="000F1B10" w:rsidP="000F1B10">
      <w:pPr>
        <w:rPr>
          <w:b/>
          <w:lang w:bidi="hi-IN"/>
        </w:rPr>
      </w:pPr>
      <w:r w:rsidRPr="00C0785B">
        <w:rPr>
          <w:b/>
          <w:lang w:bidi="hi-IN"/>
        </w:rPr>
        <w:t xml:space="preserve">Proposal </w:t>
      </w:r>
      <w:r>
        <w:rPr>
          <w:b/>
          <w:lang w:bidi="hi-IN"/>
        </w:rPr>
        <w:t>3</w:t>
      </w:r>
      <w:r w:rsidRPr="00C0785B">
        <w:rPr>
          <w:b/>
          <w:lang w:bidi="hi-IN"/>
        </w:rPr>
        <w:t xml:space="preserve">: No higher layer signalling is assumed when the </w:t>
      </w:r>
      <w:proofErr w:type="spellStart"/>
      <w:r w:rsidRPr="00C0785B">
        <w:rPr>
          <w:b/>
          <w:lang w:bidi="hi-IN"/>
        </w:rPr>
        <w:t>subframe</w:t>
      </w:r>
      <w:proofErr w:type="spellEnd"/>
      <w:r w:rsidRPr="00C0785B">
        <w:rPr>
          <w:b/>
          <w:lang w:bidi="hi-IN"/>
        </w:rPr>
        <w:t xml:space="preserve"> type changes between UL to DL or vice versa in LAA</w:t>
      </w:r>
    </w:p>
    <w:p w14:paraId="3ED2A688" w14:textId="77777777" w:rsidR="00F51D68" w:rsidRPr="00484883" w:rsidRDefault="00F51D68" w:rsidP="00F51D68">
      <w:pPr>
        <w:rPr>
          <w:b/>
          <w:lang w:bidi="hi-IN"/>
        </w:rPr>
      </w:pPr>
      <w:r w:rsidRPr="00484883">
        <w:rPr>
          <w:b/>
          <w:lang w:bidi="hi-IN"/>
        </w:rPr>
        <w:t xml:space="preserve">Proposal 4: </w:t>
      </w:r>
      <w:r>
        <w:rPr>
          <w:b/>
          <w:lang w:bidi="hi-IN"/>
        </w:rPr>
        <w:t xml:space="preserve">For </w:t>
      </w:r>
      <w:proofErr w:type="spellStart"/>
      <w:r>
        <w:rPr>
          <w:b/>
          <w:lang w:bidi="hi-IN"/>
        </w:rPr>
        <w:t>eLAA</w:t>
      </w:r>
      <w:proofErr w:type="spellEnd"/>
      <w:r>
        <w:rPr>
          <w:b/>
          <w:lang w:bidi="hi-IN"/>
        </w:rPr>
        <w:t xml:space="preserve">, the </w:t>
      </w:r>
      <w:r w:rsidRPr="00484883">
        <w:rPr>
          <w:b/>
          <w:lang w:bidi="hi-IN"/>
        </w:rPr>
        <w:t xml:space="preserve">UE assumes that all </w:t>
      </w:r>
      <w:proofErr w:type="spellStart"/>
      <w:r w:rsidRPr="00484883">
        <w:rPr>
          <w:b/>
          <w:lang w:bidi="hi-IN"/>
        </w:rPr>
        <w:t>subframes</w:t>
      </w:r>
      <w:proofErr w:type="spellEnd"/>
      <w:r w:rsidRPr="00484883">
        <w:rPr>
          <w:b/>
          <w:lang w:bidi="hi-IN"/>
        </w:rPr>
        <w:t xml:space="preserve"> </w:t>
      </w:r>
      <w:r>
        <w:rPr>
          <w:b/>
          <w:lang w:bidi="hi-IN"/>
        </w:rPr>
        <w:t xml:space="preserve">(except the </w:t>
      </w:r>
      <w:proofErr w:type="spellStart"/>
      <w:r>
        <w:rPr>
          <w:b/>
          <w:lang w:bidi="hi-IN"/>
        </w:rPr>
        <w:t>subframes</w:t>
      </w:r>
      <w:proofErr w:type="spellEnd"/>
      <w:r>
        <w:rPr>
          <w:b/>
          <w:lang w:bidi="hi-IN"/>
        </w:rPr>
        <w:t xml:space="preserve"> on which it is scheduled for UL) </w:t>
      </w:r>
      <w:r w:rsidRPr="00484883">
        <w:rPr>
          <w:b/>
          <w:lang w:bidi="hi-IN"/>
        </w:rPr>
        <w:t xml:space="preserve">are PDCCH </w:t>
      </w:r>
      <w:proofErr w:type="spellStart"/>
      <w:r w:rsidRPr="00484883">
        <w:rPr>
          <w:b/>
          <w:lang w:bidi="hi-IN"/>
        </w:rPr>
        <w:t>subframes</w:t>
      </w:r>
      <w:proofErr w:type="spellEnd"/>
      <w:r w:rsidRPr="00484883">
        <w:rPr>
          <w:b/>
          <w:lang w:bidi="hi-IN"/>
        </w:rPr>
        <w:t xml:space="preserve"> </w:t>
      </w:r>
    </w:p>
    <w:p w14:paraId="156C86D2" w14:textId="77777777" w:rsidR="000F1B10" w:rsidRPr="00484883" w:rsidRDefault="000F1B10" w:rsidP="000F1B10">
      <w:pPr>
        <w:rPr>
          <w:b/>
          <w:lang w:bidi="hi-IN"/>
        </w:rPr>
      </w:pPr>
      <w:r w:rsidRPr="00484883">
        <w:rPr>
          <w:b/>
          <w:lang w:bidi="hi-IN"/>
        </w:rPr>
        <w:t xml:space="preserve">Proposal 5: </w:t>
      </w:r>
      <w:r>
        <w:rPr>
          <w:b/>
          <w:lang w:bidi="hi-IN"/>
        </w:rPr>
        <w:t xml:space="preserve">The </w:t>
      </w:r>
      <w:proofErr w:type="spellStart"/>
      <w:r w:rsidRPr="00484883">
        <w:rPr>
          <w:b/>
          <w:lang w:bidi="hi-IN"/>
        </w:rPr>
        <w:t>eNB</w:t>
      </w:r>
      <w:proofErr w:type="spellEnd"/>
      <w:r w:rsidRPr="00484883">
        <w:rPr>
          <w:b/>
          <w:lang w:bidi="hi-IN"/>
        </w:rPr>
        <w:t xml:space="preserve"> either ensures that </w:t>
      </w:r>
      <w:r>
        <w:rPr>
          <w:b/>
          <w:lang w:bidi="hi-IN"/>
        </w:rPr>
        <w:t xml:space="preserve">there is </w:t>
      </w:r>
      <w:r w:rsidRPr="00484883">
        <w:rPr>
          <w:b/>
          <w:lang w:bidi="hi-IN"/>
        </w:rPr>
        <w:t xml:space="preserve">sufficient number of DL </w:t>
      </w:r>
      <w:proofErr w:type="spellStart"/>
      <w:r w:rsidRPr="00484883">
        <w:rPr>
          <w:b/>
          <w:lang w:bidi="hi-IN"/>
        </w:rPr>
        <w:t>subframes</w:t>
      </w:r>
      <w:proofErr w:type="spellEnd"/>
      <w:r w:rsidRPr="00484883">
        <w:rPr>
          <w:b/>
          <w:lang w:bidi="hi-IN"/>
        </w:rPr>
        <w:t xml:space="preserve"> to enable scheduling opportunities for each UE or uses cross-carrier scheduling </w:t>
      </w:r>
      <w:r>
        <w:rPr>
          <w:b/>
          <w:lang w:bidi="hi-IN"/>
        </w:rPr>
        <w:t xml:space="preserve">(e.g. </w:t>
      </w:r>
      <w:r w:rsidRPr="00484883">
        <w:rPr>
          <w:b/>
          <w:lang w:bidi="hi-IN"/>
        </w:rPr>
        <w:t xml:space="preserve">if availability of DL </w:t>
      </w:r>
      <w:proofErr w:type="spellStart"/>
      <w:r w:rsidRPr="00484883">
        <w:rPr>
          <w:b/>
          <w:lang w:bidi="hi-IN"/>
        </w:rPr>
        <w:t>subframes</w:t>
      </w:r>
      <w:proofErr w:type="spellEnd"/>
      <w:r w:rsidRPr="00484883">
        <w:rPr>
          <w:b/>
          <w:lang w:bidi="hi-IN"/>
        </w:rPr>
        <w:t xml:space="preserve"> during UE’s DRX ON Duration becomes the bottleneck</w:t>
      </w:r>
      <w:r>
        <w:rPr>
          <w:b/>
          <w:lang w:bidi="hi-IN"/>
        </w:rPr>
        <w:t>)</w:t>
      </w:r>
    </w:p>
    <w:p w14:paraId="0C6C5AFE" w14:textId="77777777" w:rsidR="00D1416E" w:rsidRPr="004C7AC1" w:rsidRDefault="00D1416E" w:rsidP="004C7AC1">
      <w:pPr>
        <w:pStyle w:val="Heading1"/>
        <w:numPr>
          <w:ilvl w:val="0"/>
          <w:numId w:val="7"/>
        </w:numPr>
        <w:rPr>
          <w:sz w:val="28"/>
        </w:rPr>
      </w:pPr>
      <w:r w:rsidRPr="004C7AC1">
        <w:rPr>
          <w:sz w:val="28"/>
        </w:rPr>
        <w:t>References</w:t>
      </w:r>
    </w:p>
    <w:p w14:paraId="61E3F94B" w14:textId="341B8D79" w:rsidR="00C452BF" w:rsidRPr="00656C4D" w:rsidRDefault="00C452BF" w:rsidP="00656C4D">
      <w:pPr>
        <w:numPr>
          <w:ilvl w:val="0"/>
          <w:numId w:val="16"/>
        </w:numPr>
        <w:rPr>
          <w:b/>
        </w:rPr>
      </w:pPr>
      <w:r>
        <w:t>Chairman’s notes from RAN2#93-bis meeting</w:t>
      </w:r>
    </w:p>
    <w:sectPr w:rsidR="00C452BF" w:rsidRPr="00656C4D" w:rsidSect="00D5605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C9094" w14:textId="77777777" w:rsidR="00F867A0" w:rsidRDefault="00F867A0">
      <w:r>
        <w:separator/>
      </w:r>
    </w:p>
    <w:p w14:paraId="00536A7E" w14:textId="77777777" w:rsidR="00F867A0" w:rsidRDefault="00F867A0"/>
  </w:endnote>
  <w:endnote w:type="continuationSeparator" w:id="0">
    <w:p w14:paraId="0FE70106" w14:textId="77777777" w:rsidR="00F867A0" w:rsidRDefault="00F867A0">
      <w:r>
        <w:continuationSeparator/>
      </w:r>
    </w:p>
    <w:p w14:paraId="2C1F0B1D" w14:textId="77777777" w:rsidR="00F867A0" w:rsidRDefault="00F867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4F796" w14:textId="77777777" w:rsidR="00704D37" w:rsidRDefault="00704D37">
    <w:pPr>
      <w:framePr w:w="646" w:h="244" w:hRule="exact" w:wrap="around" w:vAnchor="text" w:hAnchor="margin" w:y="-5"/>
      <w:rPr>
        <w:rFonts w:ascii="Arial" w:hAnsi="Arial" w:cs="Arial"/>
        <w:b/>
        <w:bCs/>
        <w:i/>
        <w:iCs/>
        <w:sz w:val="18"/>
      </w:rPr>
    </w:pPr>
    <w:r>
      <w:rPr>
        <w:rFonts w:ascii="Arial" w:hAnsi="Arial" w:cs="Arial"/>
        <w:b/>
        <w:bCs/>
        <w:i/>
        <w:iCs/>
        <w:sz w:val="18"/>
      </w:rPr>
      <w:t>3GPP</w:t>
    </w:r>
  </w:p>
  <w:p w14:paraId="48DB19D2" w14:textId="77777777" w:rsidR="00704D37" w:rsidRDefault="00F328FA" w:rsidP="008C431D">
    <w:pPr>
      <w:framePr w:w="1549" w:h="244" w:hRule="exact" w:wrap="around" w:vAnchor="text" w:hAnchor="page" w:x="9631" w:y="-6"/>
      <w:rPr>
        <w:rFonts w:ascii="Arial" w:hAnsi="Arial" w:cs="Arial"/>
        <w:b/>
        <w:bCs/>
        <w:i/>
        <w:iCs/>
        <w:sz w:val="18"/>
      </w:rPr>
    </w:pPr>
    <w:r>
      <w:rPr>
        <w:rFonts w:ascii="Arial" w:hAnsi="Arial" w:cs="Arial"/>
        <w:b/>
        <w:bCs/>
        <w:i/>
        <w:iCs/>
        <w:sz w:val="18"/>
      </w:rPr>
      <w:t>RAN WG2</w:t>
    </w:r>
    <w:r w:rsidR="00704D37">
      <w:rPr>
        <w:rFonts w:ascii="Arial" w:hAnsi="Arial" w:cs="Arial"/>
        <w:b/>
        <w:bCs/>
        <w:i/>
        <w:iCs/>
        <w:sz w:val="18"/>
      </w:rPr>
      <w:t xml:space="preserve"> TD</w:t>
    </w:r>
  </w:p>
  <w:p w14:paraId="187A6F73" w14:textId="77777777" w:rsidR="00704D37" w:rsidRDefault="00704D3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74009" w14:textId="77777777" w:rsidR="00F867A0" w:rsidRDefault="00F867A0">
      <w:r>
        <w:separator/>
      </w:r>
    </w:p>
    <w:p w14:paraId="565065C5" w14:textId="77777777" w:rsidR="00F867A0" w:rsidRDefault="00F867A0"/>
  </w:footnote>
  <w:footnote w:type="continuationSeparator" w:id="0">
    <w:p w14:paraId="40E8F952" w14:textId="77777777" w:rsidR="00F867A0" w:rsidRDefault="00F867A0">
      <w:r>
        <w:continuationSeparator/>
      </w:r>
    </w:p>
    <w:p w14:paraId="44B1970E" w14:textId="77777777" w:rsidR="00F867A0" w:rsidRDefault="00F867A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BD358" w14:textId="77777777" w:rsidR="00704D37" w:rsidRDefault="00704D37"/>
  <w:p w14:paraId="2BE7BDC6" w14:textId="77777777" w:rsidR="00704D37" w:rsidRDefault="00704D3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DC17C" w14:textId="77777777" w:rsidR="00704D37" w:rsidRPr="000F75E9" w:rsidRDefault="005F07DA">
    <w:pPr>
      <w:framePr w:w="2851" w:h="244" w:hRule="exact" w:wrap="around" w:vAnchor="text" w:hAnchor="page" w:x="1156" w:y="-1"/>
      <w:rPr>
        <w:rFonts w:ascii="Arial" w:hAnsi="Arial" w:cs="Arial"/>
        <w:b/>
        <w:bCs/>
        <w:sz w:val="18"/>
        <w:lang w:val="fr-FR"/>
      </w:rPr>
    </w:pPr>
    <w:r>
      <w:rPr>
        <w:rFonts w:ascii="Arial" w:hAnsi="Arial" w:cs="Arial"/>
        <w:b/>
        <w:bCs/>
        <w:sz w:val="18"/>
        <w:lang w:val="fr-FR"/>
      </w:rPr>
      <w:t>RAN WG2</w:t>
    </w:r>
    <w:r w:rsidR="00704D37" w:rsidRPr="000F75E9">
      <w:rPr>
        <w:rFonts w:ascii="Arial" w:hAnsi="Arial" w:cs="Arial"/>
        <w:b/>
        <w:bCs/>
        <w:sz w:val="18"/>
        <w:lang w:val="fr-FR"/>
      </w:rPr>
      <w:t xml:space="preserve"> </w:t>
    </w:r>
    <w:proofErr w:type="spellStart"/>
    <w:r w:rsidR="00704D37" w:rsidRPr="000F75E9">
      <w:rPr>
        <w:rFonts w:ascii="Arial" w:hAnsi="Arial" w:cs="Arial"/>
        <w:b/>
        <w:bCs/>
        <w:sz w:val="18"/>
        <w:lang w:val="fr-FR"/>
      </w:rPr>
      <w:t>Temporary</w:t>
    </w:r>
    <w:proofErr w:type="spellEnd"/>
    <w:r w:rsidR="00704D37" w:rsidRPr="000F75E9">
      <w:rPr>
        <w:rFonts w:ascii="Arial" w:hAnsi="Arial" w:cs="Arial"/>
        <w:b/>
        <w:bCs/>
        <w:sz w:val="18"/>
        <w:lang w:val="fr-FR"/>
      </w:rPr>
      <w:t xml:space="preserve"> Document</w:t>
    </w:r>
  </w:p>
  <w:p w14:paraId="5D049ADF" w14:textId="4EBB3E54" w:rsidR="00704D37" w:rsidRPr="000F75E9" w:rsidRDefault="00704D37">
    <w:pPr>
      <w:framePr w:w="946" w:h="272" w:hRule="exact" w:wrap="around" w:vAnchor="text" w:hAnchor="margin" w:xAlign="center" w:y="-1"/>
      <w:rPr>
        <w:rFonts w:ascii="Arial" w:hAnsi="Arial" w:cs="Arial"/>
        <w:b/>
        <w:bCs/>
        <w:sz w:val="18"/>
        <w:lang w:val="fr-FR"/>
      </w:rPr>
    </w:pPr>
    <w:r w:rsidRPr="000F75E9">
      <w:rPr>
        <w:rFonts w:ascii="Arial" w:hAnsi="Arial" w:cs="Arial"/>
        <w:b/>
        <w:bCs/>
        <w:sz w:val="18"/>
        <w:lang w:val="fr-FR"/>
      </w:rPr>
      <w:t xml:space="preserve">Page </w:t>
    </w:r>
    <w:r w:rsidR="00D56057">
      <w:rPr>
        <w:rFonts w:ascii="Arial" w:hAnsi="Arial" w:cs="Arial"/>
        <w:b/>
        <w:bCs/>
        <w:sz w:val="18"/>
      </w:rPr>
      <w:fldChar w:fldCharType="begin"/>
    </w:r>
    <w:r w:rsidRPr="000F75E9">
      <w:rPr>
        <w:rFonts w:ascii="Arial" w:hAnsi="Arial" w:cs="Arial"/>
        <w:b/>
        <w:bCs/>
        <w:sz w:val="18"/>
        <w:lang w:val="fr-FR"/>
      </w:rPr>
      <w:instrText xml:space="preserve">page </w:instrText>
    </w:r>
    <w:r w:rsidR="00D56057">
      <w:rPr>
        <w:rFonts w:ascii="Arial" w:hAnsi="Arial" w:cs="Arial"/>
        <w:b/>
        <w:bCs/>
        <w:sz w:val="18"/>
      </w:rPr>
      <w:fldChar w:fldCharType="separate"/>
    </w:r>
    <w:r w:rsidR="00107359">
      <w:rPr>
        <w:rFonts w:ascii="Arial" w:hAnsi="Arial" w:cs="Arial"/>
        <w:b/>
        <w:bCs/>
        <w:noProof/>
        <w:sz w:val="18"/>
        <w:lang w:val="fr-FR"/>
      </w:rPr>
      <w:t>3</w:t>
    </w:r>
    <w:r w:rsidR="00D56057">
      <w:rPr>
        <w:rFonts w:ascii="Arial" w:hAnsi="Arial" w:cs="Arial"/>
        <w:b/>
        <w:bCs/>
        <w:sz w:val="18"/>
      </w:rPr>
      <w:fldChar w:fldCharType="end"/>
    </w:r>
  </w:p>
  <w:p w14:paraId="14B63B46" w14:textId="77777777" w:rsidR="00704D37" w:rsidRPr="000F75E9" w:rsidRDefault="00704D3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92C4B"/>
    <w:multiLevelType w:val="hybridMultilevel"/>
    <w:tmpl w:val="A7609288"/>
    <w:lvl w:ilvl="0" w:tplc="DBB44580">
      <w:numFmt w:val="bullet"/>
      <w:lvlText w:val=""/>
      <w:lvlJc w:val="left"/>
      <w:pPr>
        <w:ind w:left="360" w:hanging="360"/>
      </w:pPr>
      <w:rPr>
        <w:rFonts w:ascii="Wingdings" w:eastAsia="SimSun" w:hAnsi="Wingdings" w:cs="Times New Roman" w:hint="default"/>
      </w:rPr>
    </w:lvl>
    <w:lvl w:ilvl="1" w:tplc="04090003" w:tentative="1">
      <w:start w:val="1"/>
      <w:numFmt w:val="bullet"/>
      <w:lvlText w:val="o"/>
      <w:lvlJc w:val="left"/>
      <w:pPr>
        <w:ind w:left="306" w:hanging="360"/>
      </w:pPr>
      <w:rPr>
        <w:rFonts w:ascii="Courier New" w:hAnsi="Courier New" w:cs="Courier New" w:hint="default"/>
      </w:rPr>
    </w:lvl>
    <w:lvl w:ilvl="2" w:tplc="04090005" w:tentative="1">
      <w:start w:val="1"/>
      <w:numFmt w:val="bullet"/>
      <w:lvlText w:val=""/>
      <w:lvlJc w:val="left"/>
      <w:pPr>
        <w:ind w:left="1026" w:hanging="360"/>
      </w:pPr>
      <w:rPr>
        <w:rFonts w:ascii="Wingdings" w:hAnsi="Wingdings" w:hint="default"/>
      </w:rPr>
    </w:lvl>
    <w:lvl w:ilvl="3" w:tplc="04090001" w:tentative="1">
      <w:start w:val="1"/>
      <w:numFmt w:val="bullet"/>
      <w:lvlText w:val=""/>
      <w:lvlJc w:val="left"/>
      <w:pPr>
        <w:ind w:left="1746" w:hanging="360"/>
      </w:pPr>
      <w:rPr>
        <w:rFonts w:ascii="Symbol" w:hAnsi="Symbol" w:hint="default"/>
      </w:rPr>
    </w:lvl>
    <w:lvl w:ilvl="4" w:tplc="04090003" w:tentative="1">
      <w:start w:val="1"/>
      <w:numFmt w:val="bullet"/>
      <w:lvlText w:val="o"/>
      <w:lvlJc w:val="left"/>
      <w:pPr>
        <w:ind w:left="2466" w:hanging="360"/>
      </w:pPr>
      <w:rPr>
        <w:rFonts w:ascii="Courier New" w:hAnsi="Courier New" w:cs="Courier New" w:hint="default"/>
      </w:rPr>
    </w:lvl>
    <w:lvl w:ilvl="5" w:tplc="04090005" w:tentative="1">
      <w:start w:val="1"/>
      <w:numFmt w:val="bullet"/>
      <w:lvlText w:val=""/>
      <w:lvlJc w:val="left"/>
      <w:pPr>
        <w:ind w:left="3186" w:hanging="360"/>
      </w:pPr>
      <w:rPr>
        <w:rFonts w:ascii="Wingdings" w:hAnsi="Wingdings" w:hint="default"/>
      </w:rPr>
    </w:lvl>
    <w:lvl w:ilvl="6" w:tplc="04090001" w:tentative="1">
      <w:start w:val="1"/>
      <w:numFmt w:val="bullet"/>
      <w:lvlText w:val=""/>
      <w:lvlJc w:val="left"/>
      <w:pPr>
        <w:ind w:left="3906" w:hanging="360"/>
      </w:pPr>
      <w:rPr>
        <w:rFonts w:ascii="Symbol" w:hAnsi="Symbol" w:hint="default"/>
      </w:rPr>
    </w:lvl>
    <w:lvl w:ilvl="7" w:tplc="04090003" w:tentative="1">
      <w:start w:val="1"/>
      <w:numFmt w:val="bullet"/>
      <w:lvlText w:val="o"/>
      <w:lvlJc w:val="left"/>
      <w:pPr>
        <w:ind w:left="4626" w:hanging="360"/>
      </w:pPr>
      <w:rPr>
        <w:rFonts w:ascii="Courier New" w:hAnsi="Courier New" w:cs="Courier New" w:hint="default"/>
      </w:rPr>
    </w:lvl>
    <w:lvl w:ilvl="8" w:tplc="04090005" w:tentative="1">
      <w:start w:val="1"/>
      <w:numFmt w:val="bullet"/>
      <w:lvlText w:val=""/>
      <w:lvlJc w:val="left"/>
      <w:pPr>
        <w:ind w:left="5346" w:hanging="360"/>
      </w:pPr>
      <w:rPr>
        <w:rFonts w:ascii="Wingdings" w:hAnsi="Wingdings" w:hint="default"/>
      </w:rPr>
    </w:lvl>
  </w:abstractNum>
  <w:abstractNum w:abstractNumId="1" w15:restartNumberingAfterBreak="0">
    <w:nsid w:val="0E88269D"/>
    <w:multiLevelType w:val="hybridMultilevel"/>
    <w:tmpl w:val="BE1A8C12"/>
    <w:lvl w:ilvl="0" w:tplc="902C6D9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DE11D7"/>
    <w:multiLevelType w:val="hybridMultilevel"/>
    <w:tmpl w:val="2FFC53B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38761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B774CF4"/>
    <w:multiLevelType w:val="hybridMultilevel"/>
    <w:tmpl w:val="8DD6D2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F91E88"/>
    <w:multiLevelType w:val="hybridMultilevel"/>
    <w:tmpl w:val="3B06B4E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7E02C7"/>
    <w:multiLevelType w:val="hybridMultilevel"/>
    <w:tmpl w:val="5B6CBE2A"/>
    <w:lvl w:ilvl="0" w:tplc="04090001">
      <w:start w:val="1"/>
      <w:numFmt w:val="bullet"/>
      <w:lvlText w:val=""/>
      <w:lvlJc w:val="left"/>
      <w:pPr>
        <w:ind w:left="4416" w:hanging="360"/>
      </w:pPr>
      <w:rPr>
        <w:rFonts w:ascii="Symbol" w:hAnsi="Symbol" w:hint="default"/>
      </w:rPr>
    </w:lvl>
    <w:lvl w:ilvl="1" w:tplc="04090003">
      <w:start w:val="1"/>
      <w:numFmt w:val="bullet"/>
      <w:lvlText w:val="o"/>
      <w:lvlJc w:val="left"/>
      <w:pPr>
        <w:ind w:left="5136" w:hanging="360"/>
      </w:pPr>
      <w:rPr>
        <w:rFonts w:ascii="Courier New" w:hAnsi="Courier New" w:cs="Courier New" w:hint="default"/>
      </w:rPr>
    </w:lvl>
    <w:lvl w:ilvl="2" w:tplc="04090005" w:tentative="1">
      <w:start w:val="1"/>
      <w:numFmt w:val="bullet"/>
      <w:lvlText w:val=""/>
      <w:lvlJc w:val="left"/>
      <w:pPr>
        <w:ind w:left="5856" w:hanging="360"/>
      </w:pPr>
      <w:rPr>
        <w:rFonts w:ascii="Wingdings" w:hAnsi="Wingdings" w:hint="default"/>
      </w:rPr>
    </w:lvl>
    <w:lvl w:ilvl="3" w:tplc="04090001" w:tentative="1">
      <w:start w:val="1"/>
      <w:numFmt w:val="bullet"/>
      <w:lvlText w:val=""/>
      <w:lvlJc w:val="left"/>
      <w:pPr>
        <w:ind w:left="6576" w:hanging="360"/>
      </w:pPr>
      <w:rPr>
        <w:rFonts w:ascii="Symbol" w:hAnsi="Symbol" w:hint="default"/>
      </w:rPr>
    </w:lvl>
    <w:lvl w:ilvl="4" w:tplc="04090003" w:tentative="1">
      <w:start w:val="1"/>
      <w:numFmt w:val="bullet"/>
      <w:lvlText w:val="o"/>
      <w:lvlJc w:val="left"/>
      <w:pPr>
        <w:ind w:left="7296" w:hanging="360"/>
      </w:pPr>
      <w:rPr>
        <w:rFonts w:ascii="Courier New" w:hAnsi="Courier New" w:cs="Courier New" w:hint="default"/>
      </w:rPr>
    </w:lvl>
    <w:lvl w:ilvl="5" w:tplc="04090005" w:tentative="1">
      <w:start w:val="1"/>
      <w:numFmt w:val="bullet"/>
      <w:lvlText w:val=""/>
      <w:lvlJc w:val="left"/>
      <w:pPr>
        <w:ind w:left="8016" w:hanging="360"/>
      </w:pPr>
      <w:rPr>
        <w:rFonts w:ascii="Wingdings" w:hAnsi="Wingdings" w:hint="default"/>
      </w:rPr>
    </w:lvl>
    <w:lvl w:ilvl="6" w:tplc="04090001" w:tentative="1">
      <w:start w:val="1"/>
      <w:numFmt w:val="bullet"/>
      <w:lvlText w:val=""/>
      <w:lvlJc w:val="left"/>
      <w:pPr>
        <w:ind w:left="8736" w:hanging="360"/>
      </w:pPr>
      <w:rPr>
        <w:rFonts w:ascii="Symbol" w:hAnsi="Symbol" w:hint="default"/>
      </w:rPr>
    </w:lvl>
    <w:lvl w:ilvl="7" w:tplc="04090003" w:tentative="1">
      <w:start w:val="1"/>
      <w:numFmt w:val="bullet"/>
      <w:lvlText w:val="o"/>
      <w:lvlJc w:val="left"/>
      <w:pPr>
        <w:ind w:left="9456" w:hanging="360"/>
      </w:pPr>
      <w:rPr>
        <w:rFonts w:ascii="Courier New" w:hAnsi="Courier New" w:cs="Courier New" w:hint="default"/>
      </w:rPr>
    </w:lvl>
    <w:lvl w:ilvl="8" w:tplc="04090005" w:tentative="1">
      <w:start w:val="1"/>
      <w:numFmt w:val="bullet"/>
      <w:lvlText w:val=""/>
      <w:lvlJc w:val="left"/>
      <w:pPr>
        <w:ind w:left="10176" w:hanging="360"/>
      </w:pPr>
      <w:rPr>
        <w:rFonts w:ascii="Wingdings" w:hAnsi="Wingdings" w:hint="default"/>
      </w:rPr>
    </w:lvl>
  </w:abstractNum>
  <w:abstractNum w:abstractNumId="7" w15:restartNumberingAfterBreak="0">
    <w:nsid w:val="259D217D"/>
    <w:multiLevelType w:val="hybridMultilevel"/>
    <w:tmpl w:val="8CF63EE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7871A3"/>
    <w:multiLevelType w:val="hybridMultilevel"/>
    <w:tmpl w:val="A3BE4EB6"/>
    <w:lvl w:ilvl="0" w:tplc="36C0E4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820432"/>
    <w:multiLevelType w:val="hybridMultilevel"/>
    <w:tmpl w:val="B80896AC"/>
    <w:lvl w:ilvl="0" w:tplc="9BAC846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CE55D52"/>
    <w:multiLevelType w:val="hybridMultilevel"/>
    <w:tmpl w:val="E3886A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0C658C"/>
    <w:multiLevelType w:val="hybridMultilevel"/>
    <w:tmpl w:val="0D4C9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261EF"/>
    <w:multiLevelType w:val="hybridMultilevel"/>
    <w:tmpl w:val="DA46644C"/>
    <w:lvl w:ilvl="0" w:tplc="04090001">
      <w:start w:val="1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B975B6"/>
    <w:multiLevelType w:val="hybridMultilevel"/>
    <w:tmpl w:val="13482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4717FD"/>
    <w:multiLevelType w:val="hybridMultilevel"/>
    <w:tmpl w:val="E8280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A22588"/>
    <w:multiLevelType w:val="hybridMultilevel"/>
    <w:tmpl w:val="C252476C"/>
    <w:lvl w:ilvl="0" w:tplc="9730AE4A">
      <w:start w:val="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0D5F06"/>
    <w:multiLevelType w:val="hybridMultilevel"/>
    <w:tmpl w:val="0EC602E4"/>
    <w:lvl w:ilvl="0" w:tplc="1CF2EB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07044C"/>
    <w:multiLevelType w:val="hybridMultilevel"/>
    <w:tmpl w:val="2EF287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752235"/>
    <w:multiLevelType w:val="hybridMultilevel"/>
    <w:tmpl w:val="62943A16"/>
    <w:lvl w:ilvl="0" w:tplc="DBB44580">
      <w:numFmt w:val="bullet"/>
      <w:lvlText w:val=""/>
      <w:lvlJc w:val="left"/>
      <w:pPr>
        <w:ind w:left="1494" w:hanging="360"/>
      </w:pPr>
      <w:rPr>
        <w:rFonts w:ascii="Wingdings" w:eastAsia="SimSun" w:hAnsi="Wingdings" w:cs="Times New Roman"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9" w15:restartNumberingAfterBreak="0">
    <w:nsid w:val="723F34E6"/>
    <w:multiLevelType w:val="hybridMultilevel"/>
    <w:tmpl w:val="124425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6"/>
  </w:num>
  <w:num w:numId="3">
    <w:abstractNumId w:val="19"/>
  </w:num>
  <w:num w:numId="4">
    <w:abstractNumId w:val="14"/>
  </w:num>
  <w:num w:numId="5">
    <w:abstractNumId w:val="18"/>
  </w:num>
  <w:num w:numId="6">
    <w:abstractNumId w:val="1"/>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3"/>
  </w:num>
  <w:num w:numId="11">
    <w:abstractNumId w:val="3"/>
  </w:num>
  <w:num w:numId="12">
    <w:abstractNumId w:val="2"/>
  </w:num>
  <w:num w:numId="13">
    <w:abstractNumId w:val="3"/>
  </w:num>
  <w:num w:numId="14">
    <w:abstractNumId w:val="7"/>
  </w:num>
  <w:num w:numId="15">
    <w:abstractNumId w:val="3"/>
  </w:num>
  <w:num w:numId="16">
    <w:abstractNumId w:val="8"/>
  </w:num>
  <w:num w:numId="17">
    <w:abstractNumId w:val="9"/>
  </w:num>
  <w:num w:numId="18">
    <w:abstractNumId w:val="16"/>
  </w:num>
  <w:num w:numId="19">
    <w:abstractNumId w:val="4"/>
  </w:num>
  <w:num w:numId="20">
    <w:abstractNumId w:val="5"/>
  </w:num>
  <w:num w:numId="21">
    <w:abstractNumId w:val="3"/>
  </w:num>
  <w:num w:numId="22">
    <w:abstractNumId w:val="3"/>
  </w:num>
  <w:num w:numId="23">
    <w:abstractNumId w:val="3"/>
  </w:num>
  <w:num w:numId="24">
    <w:abstractNumId w:val="12"/>
  </w:num>
  <w:num w:numId="25">
    <w:abstractNumId w:val="11"/>
  </w:num>
  <w:num w:numId="26">
    <w:abstractNumId w:val="13"/>
  </w:num>
  <w:num w:numId="27">
    <w:abstractNumId w:val="17"/>
  </w:num>
  <w:num w:numId="28">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42C"/>
    <w:rsid w:val="00000407"/>
    <w:rsid w:val="00000F48"/>
    <w:rsid w:val="00001D96"/>
    <w:rsid w:val="000035F5"/>
    <w:rsid w:val="00003853"/>
    <w:rsid w:val="0000792A"/>
    <w:rsid w:val="0001228B"/>
    <w:rsid w:val="00015640"/>
    <w:rsid w:val="0002084A"/>
    <w:rsid w:val="00022096"/>
    <w:rsid w:val="000221D9"/>
    <w:rsid w:val="00022BE8"/>
    <w:rsid w:val="00022CC0"/>
    <w:rsid w:val="00022F38"/>
    <w:rsid w:val="00025ABB"/>
    <w:rsid w:val="00026983"/>
    <w:rsid w:val="000271B9"/>
    <w:rsid w:val="000271DF"/>
    <w:rsid w:val="00030258"/>
    <w:rsid w:val="00031183"/>
    <w:rsid w:val="00032FA2"/>
    <w:rsid w:val="00042BC9"/>
    <w:rsid w:val="0004417D"/>
    <w:rsid w:val="00046575"/>
    <w:rsid w:val="00052158"/>
    <w:rsid w:val="000532DD"/>
    <w:rsid w:val="0005396D"/>
    <w:rsid w:val="0005633F"/>
    <w:rsid w:val="00057268"/>
    <w:rsid w:val="000578FC"/>
    <w:rsid w:val="000606E7"/>
    <w:rsid w:val="00060AF3"/>
    <w:rsid w:val="00061B9A"/>
    <w:rsid w:val="00061F2D"/>
    <w:rsid w:val="000621E9"/>
    <w:rsid w:val="000630B6"/>
    <w:rsid w:val="000643D7"/>
    <w:rsid w:val="00064BD3"/>
    <w:rsid w:val="000668FF"/>
    <w:rsid w:val="00070892"/>
    <w:rsid w:val="000718D7"/>
    <w:rsid w:val="0007456E"/>
    <w:rsid w:val="00075426"/>
    <w:rsid w:val="000772E0"/>
    <w:rsid w:val="00080A79"/>
    <w:rsid w:val="00083E45"/>
    <w:rsid w:val="00086BA9"/>
    <w:rsid w:val="00086E97"/>
    <w:rsid w:val="00087103"/>
    <w:rsid w:val="000903F5"/>
    <w:rsid w:val="00090AE9"/>
    <w:rsid w:val="00090EA7"/>
    <w:rsid w:val="00091AF8"/>
    <w:rsid w:val="00093000"/>
    <w:rsid w:val="000948AB"/>
    <w:rsid w:val="00095F7F"/>
    <w:rsid w:val="000969F6"/>
    <w:rsid w:val="000970AE"/>
    <w:rsid w:val="00097645"/>
    <w:rsid w:val="000A1DE3"/>
    <w:rsid w:val="000A3515"/>
    <w:rsid w:val="000A37B5"/>
    <w:rsid w:val="000A5005"/>
    <w:rsid w:val="000A6927"/>
    <w:rsid w:val="000B0E46"/>
    <w:rsid w:val="000B4D8E"/>
    <w:rsid w:val="000B4E3B"/>
    <w:rsid w:val="000B5715"/>
    <w:rsid w:val="000B7643"/>
    <w:rsid w:val="000B77A6"/>
    <w:rsid w:val="000C1A90"/>
    <w:rsid w:val="000C35FB"/>
    <w:rsid w:val="000C3D2A"/>
    <w:rsid w:val="000C5D3C"/>
    <w:rsid w:val="000D00E4"/>
    <w:rsid w:val="000D5087"/>
    <w:rsid w:val="000E3EE1"/>
    <w:rsid w:val="000E5F5D"/>
    <w:rsid w:val="000F0987"/>
    <w:rsid w:val="000F107F"/>
    <w:rsid w:val="000F19DD"/>
    <w:rsid w:val="000F1B10"/>
    <w:rsid w:val="000F3E56"/>
    <w:rsid w:val="000F7205"/>
    <w:rsid w:val="000F75E9"/>
    <w:rsid w:val="00105215"/>
    <w:rsid w:val="00106B17"/>
    <w:rsid w:val="00107359"/>
    <w:rsid w:val="00107C55"/>
    <w:rsid w:val="0011016B"/>
    <w:rsid w:val="001102B5"/>
    <w:rsid w:val="001110DB"/>
    <w:rsid w:val="001143C3"/>
    <w:rsid w:val="00114935"/>
    <w:rsid w:val="001175D1"/>
    <w:rsid w:val="00117A58"/>
    <w:rsid w:val="00120325"/>
    <w:rsid w:val="001231C5"/>
    <w:rsid w:val="00124B74"/>
    <w:rsid w:val="00124FF2"/>
    <w:rsid w:val="0013032F"/>
    <w:rsid w:val="001306C1"/>
    <w:rsid w:val="00130A02"/>
    <w:rsid w:val="001311B0"/>
    <w:rsid w:val="00132003"/>
    <w:rsid w:val="00132F3C"/>
    <w:rsid w:val="0013587D"/>
    <w:rsid w:val="001372C8"/>
    <w:rsid w:val="0013751C"/>
    <w:rsid w:val="0013790F"/>
    <w:rsid w:val="001403F8"/>
    <w:rsid w:val="00142FE0"/>
    <w:rsid w:val="0014551D"/>
    <w:rsid w:val="00145F38"/>
    <w:rsid w:val="00145FE8"/>
    <w:rsid w:val="0015081F"/>
    <w:rsid w:val="00150FF7"/>
    <w:rsid w:val="0015581F"/>
    <w:rsid w:val="00161A53"/>
    <w:rsid w:val="00161BB6"/>
    <w:rsid w:val="0016444B"/>
    <w:rsid w:val="001645DB"/>
    <w:rsid w:val="00164767"/>
    <w:rsid w:val="00164D15"/>
    <w:rsid w:val="00165217"/>
    <w:rsid w:val="001659DD"/>
    <w:rsid w:val="001672DF"/>
    <w:rsid w:val="00172E18"/>
    <w:rsid w:val="00173D62"/>
    <w:rsid w:val="00175BC5"/>
    <w:rsid w:val="00175D5F"/>
    <w:rsid w:val="001800B9"/>
    <w:rsid w:val="00180A4B"/>
    <w:rsid w:val="00183ED9"/>
    <w:rsid w:val="00192415"/>
    <w:rsid w:val="00195955"/>
    <w:rsid w:val="00196F87"/>
    <w:rsid w:val="001A1B47"/>
    <w:rsid w:val="001A2C04"/>
    <w:rsid w:val="001A3449"/>
    <w:rsid w:val="001A3CA8"/>
    <w:rsid w:val="001A620C"/>
    <w:rsid w:val="001B1D79"/>
    <w:rsid w:val="001B371B"/>
    <w:rsid w:val="001B58AA"/>
    <w:rsid w:val="001B5D9B"/>
    <w:rsid w:val="001B67F8"/>
    <w:rsid w:val="001C0D96"/>
    <w:rsid w:val="001C338F"/>
    <w:rsid w:val="001C3B01"/>
    <w:rsid w:val="001C649E"/>
    <w:rsid w:val="001D069B"/>
    <w:rsid w:val="001D360C"/>
    <w:rsid w:val="001D38C6"/>
    <w:rsid w:val="001D3909"/>
    <w:rsid w:val="001D443E"/>
    <w:rsid w:val="001D4DED"/>
    <w:rsid w:val="001D5B79"/>
    <w:rsid w:val="001D6DD0"/>
    <w:rsid w:val="001E0077"/>
    <w:rsid w:val="001E1696"/>
    <w:rsid w:val="001E1B1B"/>
    <w:rsid w:val="001E2303"/>
    <w:rsid w:val="001E3781"/>
    <w:rsid w:val="001E4D0D"/>
    <w:rsid w:val="001E5998"/>
    <w:rsid w:val="001E7156"/>
    <w:rsid w:val="001F0DB0"/>
    <w:rsid w:val="001F1CD2"/>
    <w:rsid w:val="001F1EC5"/>
    <w:rsid w:val="0020031E"/>
    <w:rsid w:val="0020114B"/>
    <w:rsid w:val="00206F0A"/>
    <w:rsid w:val="00207522"/>
    <w:rsid w:val="00207A1C"/>
    <w:rsid w:val="002102E8"/>
    <w:rsid w:val="00211DF1"/>
    <w:rsid w:val="00212DB1"/>
    <w:rsid w:val="00213AD7"/>
    <w:rsid w:val="002144F1"/>
    <w:rsid w:val="00214BAD"/>
    <w:rsid w:val="00215498"/>
    <w:rsid w:val="0021579B"/>
    <w:rsid w:val="00215900"/>
    <w:rsid w:val="00220DED"/>
    <w:rsid w:val="002212C2"/>
    <w:rsid w:val="00221FE4"/>
    <w:rsid w:val="002239B8"/>
    <w:rsid w:val="00224075"/>
    <w:rsid w:val="00224E48"/>
    <w:rsid w:val="002255CE"/>
    <w:rsid w:val="00227846"/>
    <w:rsid w:val="00231D94"/>
    <w:rsid w:val="00233608"/>
    <w:rsid w:val="00235829"/>
    <w:rsid w:val="00237633"/>
    <w:rsid w:val="002409F4"/>
    <w:rsid w:val="00240C75"/>
    <w:rsid w:val="002411E5"/>
    <w:rsid w:val="002418E4"/>
    <w:rsid w:val="002423FA"/>
    <w:rsid w:val="00243E2C"/>
    <w:rsid w:val="00250DD0"/>
    <w:rsid w:val="00251F31"/>
    <w:rsid w:val="00252361"/>
    <w:rsid w:val="0025237B"/>
    <w:rsid w:val="002524D2"/>
    <w:rsid w:val="00252631"/>
    <w:rsid w:val="00252995"/>
    <w:rsid w:val="00255138"/>
    <w:rsid w:val="00256B19"/>
    <w:rsid w:val="00257294"/>
    <w:rsid w:val="00261DCA"/>
    <w:rsid w:val="00262600"/>
    <w:rsid w:val="00263AB6"/>
    <w:rsid w:val="00264A35"/>
    <w:rsid w:val="00270C76"/>
    <w:rsid w:val="002710F1"/>
    <w:rsid w:val="0027177B"/>
    <w:rsid w:val="00271F4D"/>
    <w:rsid w:val="00273DF2"/>
    <w:rsid w:val="0027416F"/>
    <w:rsid w:val="00276069"/>
    <w:rsid w:val="0027648C"/>
    <w:rsid w:val="00276D00"/>
    <w:rsid w:val="00280FBB"/>
    <w:rsid w:val="0028250F"/>
    <w:rsid w:val="002831FC"/>
    <w:rsid w:val="00285EE5"/>
    <w:rsid w:val="00286C1C"/>
    <w:rsid w:val="00286E83"/>
    <w:rsid w:val="0029186A"/>
    <w:rsid w:val="00292315"/>
    <w:rsid w:val="002939BD"/>
    <w:rsid w:val="00293A3F"/>
    <w:rsid w:val="00295A8B"/>
    <w:rsid w:val="00296F3E"/>
    <w:rsid w:val="002A1739"/>
    <w:rsid w:val="002A3EB3"/>
    <w:rsid w:val="002A5514"/>
    <w:rsid w:val="002B1350"/>
    <w:rsid w:val="002B5F8A"/>
    <w:rsid w:val="002B6EC1"/>
    <w:rsid w:val="002B6F94"/>
    <w:rsid w:val="002B71C1"/>
    <w:rsid w:val="002C09BA"/>
    <w:rsid w:val="002C2EC3"/>
    <w:rsid w:val="002C30FA"/>
    <w:rsid w:val="002C376E"/>
    <w:rsid w:val="002C7A4C"/>
    <w:rsid w:val="002D09A1"/>
    <w:rsid w:val="002D1613"/>
    <w:rsid w:val="002D2116"/>
    <w:rsid w:val="002D21E1"/>
    <w:rsid w:val="002D2B55"/>
    <w:rsid w:val="002D4DF5"/>
    <w:rsid w:val="002D72B8"/>
    <w:rsid w:val="002D7311"/>
    <w:rsid w:val="002D771D"/>
    <w:rsid w:val="002E183C"/>
    <w:rsid w:val="002E46DD"/>
    <w:rsid w:val="002E6A0F"/>
    <w:rsid w:val="002E700E"/>
    <w:rsid w:val="002E76C7"/>
    <w:rsid w:val="002F1709"/>
    <w:rsid w:val="002F248D"/>
    <w:rsid w:val="002F252C"/>
    <w:rsid w:val="002F4A2E"/>
    <w:rsid w:val="002F514A"/>
    <w:rsid w:val="002F7BD6"/>
    <w:rsid w:val="00300B40"/>
    <w:rsid w:val="00301E6A"/>
    <w:rsid w:val="0030255A"/>
    <w:rsid w:val="00305A4D"/>
    <w:rsid w:val="00307863"/>
    <w:rsid w:val="00313870"/>
    <w:rsid w:val="00321688"/>
    <w:rsid w:val="00324289"/>
    <w:rsid w:val="00324FCE"/>
    <w:rsid w:val="003269ED"/>
    <w:rsid w:val="003307CF"/>
    <w:rsid w:val="00330C71"/>
    <w:rsid w:val="00331A99"/>
    <w:rsid w:val="00332D92"/>
    <w:rsid w:val="00334235"/>
    <w:rsid w:val="00334903"/>
    <w:rsid w:val="00336647"/>
    <w:rsid w:val="0033775D"/>
    <w:rsid w:val="00341FCD"/>
    <w:rsid w:val="00344A70"/>
    <w:rsid w:val="00346520"/>
    <w:rsid w:val="00346813"/>
    <w:rsid w:val="00347213"/>
    <w:rsid w:val="00350C02"/>
    <w:rsid w:val="00351EA5"/>
    <w:rsid w:val="00352338"/>
    <w:rsid w:val="0035250D"/>
    <w:rsid w:val="00353E01"/>
    <w:rsid w:val="00355B8B"/>
    <w:rsid w:val="00355EA5"/>
    <w:rsid w:val="00357B70"/>
    <w:rsid w:val="00365243"/>
    <w:rsid w:val="003728BB"/>
    <w:rsid w:val="00372C2F"/>
    <w:rsid w:val="00374302"/>
    <w:rsid w:val="00374750"/>
    <w:rsid w:val="00374DD9"/>
    <w:rsid w:val="0037540C"/>
    <w:rsid w:val="00376AFD"/>
    <w:rsid w:val="00380086"/>
    <w:rsid w:val="0038168B"/>
    <w:rsid w:val="00383211"/>
    <w:rsid w:val="0038742D"/>
    <w:rsid w:val="0038773C"/>
    <w:rsid w:val="00390EC6"/>
    <w:rsid w:val="00392CBC"/>
    <w:rsid w:val="003A1B64"/>
    <w:rsid w:val="003B1ADC"/>
    <w:rsid w:val="003B38B9"/>
    <w:rsid w:val="003B4321"/>
    <w:rsid w:val="003B474F"/>
    <w:rsid w:val="003B5FE6"/>
    <w:rsid w:val="003C16A5"/>
    <w:rsid w:val="003C1775"/>
    <w:rsid w:val="003C1F9E"/>
    <w:rsid w:val="003C23BE"/>
    <w:rsid w:val="003C2BAA"/>
    <w:rsid w:val="003C2E84"/>
    <w:rsid w:val="003C3D2B"/>
    <w:rsid w:val="003C5D9E"/>
    <w:rsid w:val="003C6D4F"/>
    <w:rsid w:val="003D09A6"/>
    <w:rsid w:val="003D224C"/>
    <w:rsid w:val="003D2DE5"/>
    <w:rsid w:val="003D4DD5"/>
    <w:rsid w:val="003D4E36"/>
    <w:rsid w:val="003E0B4F"/>
    <w:rsid w:val="003E358B"/>
    <w:rsid w:val="003E4A7F"/>
    <w:rsid w:val="003E6F22"/>
    <w:rsid w:val="003E71AB"/>
    <w:rsid w:val="003E785C"/>
    <w:rsid w:val="003E7EC0"/>
    <w:rsid w:val="003F2D55"/>
    <w:rsid w:val="003F3451"/>
    <w:rsid w:val="003F3833"/>
    <w:rsid w:val="003F5506"/>
    <w:rsid w:val="003F5978"/>
    <w:rsid w:val="003F7835"/>
    <w:rsid w:val="003F7E18"/>
    <w:rsid w:val="004011CB"/>
    <w:rsid w:val="00401AB0"/>
    <w:rsid w:val="00401E9F"/>
    <w:rsid w:val="00404EB7"/>
    <w:rsid w:val="00405535"/>
    <w:rsid w:val="0040575B"/>
    <w:rsid w:val="00406DC0"/>
    <w:rsid w:val="004076C5"/>
    <w:rsid w:val="00410374"/>
    <w:rsid w:val="00410C33"/>
    <w:rsid w:val="00411990"/>
    <w:rsid w:val="0041204D"/>
    <w:rsid w:val="004157B5"/>
    <w:rsid w:val="00416193"/>
    <w:rsid w:val="00420BED"/>
    <w:rsid w:val="0042748B"/>
    <w:rsid w:val="004274CF"/>
    <w:rsid w:val="00427F31"/>
    <w:rsid w:val="00430346"/>
    <w:rsid w:val="004313E6"/>
    <w:rsid w:val="004320DE"/>
    <w:rsid w:val="0043386E"/>
    <w:rsid w:val="00434657"/>
    <w:rsid w:val="004358CD"/>
    <w:rsid w:val="00436164"/>
    <w:rsid w:val="00436D45"/>
    <w:rsid w:val="004418D3"/>
    <w:rsid w:val="00442696"/>
    <w:rsid w:val="004443F4"/>
    <w:rsid w:val="00444A6A"/>
    <w:rsid w:val="00447CFD"/>
    <w:rsid w:val="00450619"/>
    <w:rsid w:val="004518E2"/>
    <w:rsid w:val="00451A5F"/>
    <w:rsid w:val="004533F9"/>
    <w:rsid w:val="0045442B"/>
    <w:rsid w:val="0045533B"/>
    <w:rsid w:val="00460DE0"/>
    <w:rsid w:val="00461CCF"/>
    <w:rsid w:val="00463782"/>
    <w:rsid w:val="004655D2"/>
    <w:rsid w:val="004655E6"/>
    <w:rsid w:val="00467D5B"/>
    <w:rsid w:val="00470A11"/>
    <w:rsid w:val="00470F43"/>
    <w:rsid w:val="0047153C"/>
    <w:rsid w:val="00471B95"/>
    <w:rsid w:val="0047275C"/>
    <w:rsid w:val="00472D34"/>
    <w:rsid w:val="00473DEC"/>
    <w:rsid w:val="00475F84"/>
    <w:rsid w:val="0047679D"/>
    <w:rsid w:val="00480800"/>
    <w:rsid w:val="00481F53"/>
    <w:rsid w:val="00484883"/>
    <w:rsid w:val="00485138"/>
    <w:rsid w:val="0048525B"/>
    <w:rsid w:val="004860D6"/>
    <w:rsid w:val="00486DA8"/>
    <w:rsid w:val="0049140C"/>
    <w:rsid w:val="004919A9"/>
    <w:rsid w:val="00494924"/>
    <w:rsid w:val="004954BD"/>
    <w:rsid w:val="004959BD"/>
    <w:rsid w:val="00497DEE"/>
    <w:rsid w:val="004A0A37"/>
    <w:rsid w:val="004A1445"/>
    <w:rsid w:val="004A4A43"/>
    <w:rsid w:val="004B1822"/>
    <w:rsid w:val="004B2629"/>
    <w:rsid w:val="004B3B16"/>
    <w:rsid w:val="004B58AE"/>
    <w:rsid w:val="004B7D14"/>
    <w:rsid w:val="004C0A3E"/>
    <w:rsid w:val="004C1C49"/>
    <w:rsid w:val="004C2C91"/>
    <w:rsid w:val="004C4565"/>
    <w:rsid w:val="004C7079"/>
    <w:rsid w:val="004C70A7"/>
    <w:rsid w:val="004C78B7"/>
    <w:rsid w:val="004C7AC1"/>
    <w:rsid w:val="004D1316"/>
    <w:rsid w:val="004D1643"/>
    <w:rsid w:val="004D188C"/>
    <w:rsid w:val="004D221B"/>
    <w:rsid w:val="004D3714"/>
    <w:rsid w:val="004D3CF3"/>
    <w:rsid w:val="004D4354"/>
    <w:rsid w:val="004D5FF6"/>
    <w:rsid w:val="004D7E4C"/>
    <w:rsid w:val="004E10B1"/>
    <w:rsid w:val="004E16A5"/>
    <w:rsid w:val="004E36EF"/>
    <w:rsid w:val="004E3B6C"/>
    <w:rsid w:val="004E4CA9"/>
    <w:rsid w:val="004E53EE"/>
    <w:rsid w:val="004E660E"/>
    <w:rsid w:val="004E6B18"/>
    <w:rsid w:val="004E6FC0"/>
    <w:rsid w:val="004F3A84"/>
    <w:rsid w:val="004F4212"/>
    <w:rsid w:val="004F434A"/>
    <w:rsid w:val="004F76C6"/>
    <w:rsid w:val="00501C03"/>
    <w:rsid w:val="005029AE"/>
    <w:rsid w:val="00502F3D"/>
    <w:rsid w:val="0050337D"/>
    <w:rsid w:val="00504670"/>
    <w:rsid w:val="0050544B"/>
    <w:rsid w:val="00512D1A"/>
    <w:rsid w:val="00516FE1"/>
    <w:rsid w:val="0052044E"/>
    <w:rsid w:val="0053216F"/>
    <w:rsid w:val="00532C5F"/>
    <w:rsid w:val="0053500A"/>
    <w:rsid w:val="0053583E"/>
    <w:rsid w:val="00536E3F"/>
    <w:rsid w:val="00543DC1"/>
    <w:rsid w:val="0054425E"/>
    <w:rsid w:val="005444CC"/>
    <w:rsid w:val="00544810"/>
    <w:rsid w:val="0054594B"/>
    <w:rsid w:val="00546266"/>
    <w:rsid w:val="00546EB1"/>
    <w:rsid w:val="0054775F"/>
    <w:rsid w:val="0055125B"/>
    <w:rsid w:val="005529F1"/>
    <w:rsid w:val="00552CCF"/>
    <w:rsid w:val="005547DC"/>
    <w:rsid w:val="00554E67"/>
    <w:rsid w:val="00555A82"/>
    <w:rsid w:val="00556AE1"/>
    <w:rsid w:val="00564B25"/>
    <w:rsid w:val="00564FF5"/>
    <w:rsid w:val="005654D5"/>
    <w:rsid w:val="00566264"/>
    <w:rsid w:val="005670F3"/>
    <w:rsid w:val="005673FE"/>
    <w:rsid w:val="00567F61"/>
    <w:rsid w:val="00570990"/>
    <w:rsid w:val="00571A8C"/>
    <w:rsid w:val="0057250D"/>
    <w:rsid w:val="00573EE0"/>
    <w:rsid w:val="005759DE"/>
    <w:rsid w:val="00575A46"/>
    <w:rsid w:val="00575C0F"/>
    <w:rsid w:val="0058041C"/>
    <w:rsid w:val="00582E0C"/>
    <w:rsid w:val="00584913"/>
    <w:rsid w:val="00585DF0"/>
    <w:rsid w:val="0059070C"/>
    <w:rsid w:val="00590A2E"/>
    <w:rsid w:val="00591CEB"/>
    <w:rsid w:val="00592151"/>
    <w:rsid w:val="00592D23"/>
    <w:rsid w:val="005935A3"/>
    <w:rsid w:val="0059557A"/>
    <w:rsid w:val="005A0680"/>
    <w:rsid w:val="005A1112"/>
    <w:rsid w:val="005A1673"/>
    <w:rsid w:val="005A1C39"/>
    <w:rsid w:val="005A38CC"/>
    <w:rsid w:val="005A6041"/>
    <w:rsid w:val="005B03E1"/>
    <w:rsid w:val="005B068A"/>
    <w:rsid w:val="005B12C4"/>
    <w:rsid w:val="005B3341"/>
    <w:rsid w:val="005B39E2"/>
    <w:rsid w:val="005B41EA"/>
    <w:rsid w:val="005B4C82"/>
    <w:rsid w:val="005B63B0"/>
    <w:rsid w:val="005C1F64"/>
    <w:rsid w:val="005C3931"/>
    <w:rsid w:val="005C429B"/>
    <w:rsid w:val="005C5D05"/>
    <w:rsid w:val="005C61DD"/>
    <w:rsid w:val="005C68C6"/>
    <w:rsid w:val="005C72B6"/>
    <w:rsid w:val="005D0450"/>
    <w:rsid w:val="005D1FB6"/>
    <w:rsid w:val="005D2FC4"/>
    <w:rsid w:val="005D67B8"/>
    <w:rsid w:val="005D6E8E"/>
    <w:rsid w:val="005E0D83"/>
    <w:rsid w:val="005E4DFE"/>
    <w:rsid w:val="005E5B76"/>
    <w:rsid w:val="005F04E8"/>
    <w:rsid w:val="005F07DA"/>
    <w:rsid w:val="005F0D08"/>
    <w:rsid w:val="005F3EDD"/>
    <w:rsid w:val="005F40E2"/>
    <w:rsid w:val="005F4FEA"/>
    <w:rsid w:val="00600201"/>
    <w:rsid w:val="00601715"/>
    <w:rsid w:val="006021D1"/>
    <w:rsid w:val="00602337"/>
    <w:rsid w:val="0060303B"/>
    <w:rsid w:val="00604166"/>
    <w:rsid w:val="00604B53"/>
    <w:rsid w:val="00606DB5"/>
    <w:rsid w:val="00606F72"/>
    <w:rsid w:val="006117A4"/>
    <w:rsid w:val="00612030"/>
    <w:rsid w:val="00612903"/>
    <w:rsid w:val="0061342E"/>
    <w:rsid w:val="00614F83"/>
    <w:rsid w:val="00614FEB"/>
    <w:rsid w:val="0061632C"/>
    <w:rsid w:val="0061751A"/>
    <w:rsid w:val="00617FFE"/>
    <w:rsid w:val="00620312"/>
    <w:rsid w:val="00621179"/>
    <w:rsid w:val="00627CE9"/>
    <w:rsid w:val="00627D3D"/>
    <w:rsid w:val="00631FB9"/>
    <w:rsid w:val="00633749"/>
    <w:rsid w:val="00633D10"/>
    <w:rsid w:val="00634225"/>
    <w:rsid w:val="00636380"/>
    <w:rsid w:val="00640753"/>
    <w:rsid w:val="00644261"/>
    <w:rsid w:val="006459E7"/>
    <w:rsid w:val="006501BC"/>
    <w:rsid w:val="006510C5"/>
    <w:rsid w:val="006551AA"/>
    <w:rsid w:val="00655896"/>
    <w:rsid w:val="00656316"/>
    <w:rsid w:val="00656C4D"/>
    <w:rsid w:val="00660D61"/>
    <w:rsid w:val="00662A6D"/>
    <w:rsid w:val="006721C8"/>
    <w:rsid w:val="00672E02"/>
    <w:rsid w:val="00674BE3"/>
    <w:rsid w:val="00675CC7"/>
    <w:rsid w:val="00681B31"/>
    <w:rsid w:val="00682F1D"/>
    <w:rsid w:val="00683FEA"/>
    <w:rsid w:val="006862DD"/>
    <w:rsid w:val="006863FB"/>
    <w:rsid w:val="00686771"/>
    <w:rsid w:val="00686D87"/>
    <w:rsid w:val="00690444"/>
    <w:rsid w:val="00691491"/>
    <w:rsid w:val="0069411C"/>
    <w:rsid w:val="006957C4"/>
    <w:rsid w:val="0069593F"/>
    <w:rsid w:val="00697EF6"/>
    <w:rsid w:val="006A6B45"/>
    <w:rsid w:val="006A6F88"/>
    <w:rsid w:val="006B179B"/>
    <w:rsid w:val="006B5082"/>
    <w:rsid w:val="006C0BC4"/>
    <w:rsid w:val="006C1D8D"/>
    <w:rsid w:val="006C2435"/>
    <w:rsid w:val="006C2483"/>
    <w:rsid w:val="006C3E16"/>
    <w:rsid w:val="006C409A"/>
    <w:rsid w:val="006C7570"/>
    <w:rsid w:val="006C7669"/>
    <w:rsid w:val="006D2ABE"/>
    <w:rsid w:val="006D406F"/>
    <w:rsid w:val="006D4B5A"/>
    <w:rsid w:val="006D4BC3"/>
    <w:rsid w:val="006D565D"/>
    <w:rsid w:val="006D5A48"/>
    <w:rsid w:val="006D7305"/>
    <w:rsid w:val="006E3DBE"/>
    <w:rsid w:val="006E59D1"/>
    <w:rsid w:val="006E6960"/>
    <w:rsid w:val="006F16DE"/>
    <w:rsid w:val="006F2C3F"/>
    <w:rsid w:val="006F59DD"/>
    <w:rsid w:val="006F6BD9"/>
    <w:rsid w:val="007005E5"/>
    <w:rsid w:val="00700DD2"/>
    <w:rsid w:val="00700FE3"/>
    <w:rsid w:val="007011C8"/>
    <w:rsid w:val="0070198C"/>
    <w:rsid w:val="00701C8B"/>
    <w:rsid w:val="00701FE1"/>
    <w:rsid w:val="00704495"/>
    <w:rsid w:val="00704D37"/>
    <w:rsid w:val="00705EB0"/>
    <w:rsid w:val="0070731B"/>
    <w:rsid w:val="0070771A"/>
    <w:rsid w:val="00711D57"/>
    <w:rsid w:val="00713446"/>
    <w:rsid w:val="00713DCF"/>
    <w:rsid w:val="0072078E"/>
    <w:rsid w:val="00720EED"/>
    <w:rsid w:val="0072147B"/>
    <w:rsid w:val="00723A1B"/>
    <w:rsid w:val="007240CE"/>
    <w:rsid w:val="00724354"/>
    <w:rsid w:val="00727409"/>
    <w:rsid w:val="00731878"/>
    <w:rsid w:val="00732636"/>
    <w:rsid w:val="0073561B"/>
    <w:rsid w:val="00735E6B"/>
    <w:rsid w:val="00737CFB"/>
    <w:rsid w:val="00740C8F"/>
    <w:rsid w:val="0074233A"/>
    <w:rsid w:val="007443E3"/>
    <w:rsid w:val="00746C79"/>
    <w:rsid w:val="00752929"/>
    <w:rsid w:val="00752E56"/>
    <w:rsid w:val="00756385"/>
    <w:rsid w:val="007570A1"/>
    <w:rsid w:val="00760773"/>
    <w:rsid w:val="00760A9C"/>
    <w:rsid w:val="00762691"/>
    <w:rsid w:val="007641A4"/>
    <w:rsid w:val="00765311"/>
    <w:rsid w:val="007669EA"/>
    <w:rsid w:val="007702C8"/>
    <w:rsid w:val="00770968"/>
    <w:rsid w:val="00771545"/>
    <w:rsid w:val="00772157"/>
    <w:rsid w:val="00775EE3"/>
    <w:rsid w:val="00777133"/>
    <w:rsid w:val="00784B83"/>
    <w:rsid w:val="0078535D"/>
    <w:rsid w:val="00786E99"/>
    <w:rsid w:val="007870DB"/>
    <w:rsid w:val="00790AD2"/>
    <w:rsid w:val="0079249D"/>
    <w:rsid w:val="007924A6"/>
    <w:rsid w:val="007935B0"/>
    <w:rsid w:val="007963A6"/>
    <w:rsid w:val="00797704"/>
    <w:rsid w:val="00797CF8"/>
    <w:rsid w:val="00797F2C"/>
    <w:rsid w:val="00797FDA"/>
    <w:rsid w:val="007A05D2"/>
    <w:rsid w:val="007A0993"/>
    <w:rsid w:val="007B23C9"/>
    <w:rsid w:val="007B33F5"/>
    <w:rsid w:val="007B4C44"/>
    <w:rsid w:val="007B5198"/>
    <w:rsid w:val="007B571F"/>
    <w:rsid w:val="007B5933"/>
    <w:rsid w:val="007B75BB"/>
    <w:rsid w:val="007B775A"/>
    <w:rsid w:val="007C14E0"/>
    <w:rsid w:val="007C22F0"/>
    <w:rsid w:val="007C4AD3"/>
    <w:rsid w:val="007C6662"/>
    <w:rsid w:val="007D0BAF"/>
    <w:rsid w:val="007D0E8B"/>
    <w:rsid w:val="007D0EF3"/>
    <w:rsid w:val="007D213D"/>
    <w:rsid w:val="007D240B"/>
    <w:rsid w:val="007D3442"/>
    <w:rsid w:val="007D3D44"/>
    <w:rsid w:val="007D40B2"/>
    <w:rsid w:val="007E03B2"/>
    <w:rsid w:val="007E0580"/>
    <w:rsid w:val="007E1168"/>
    <w:rsid w:val="007E1F6A"/>
    <w:rsid w:val="007E22AC"/>
    <w:rsid w:val="007E44C6"/>
    <w:rsid w:val="007F120B"/>
    <w:rsid w:val="007F16D8"/>
    <w:rsid w:val="007F3E84"/>
    <w:rsid w:val="007F506B"/>
    <w:rsid w:val="007F5D92"/>
    <w:rsid w:val="007F5FA0"/>
    <w:rsid w:val="007F63CC"/>
    <w:rsid w:val="007F73CB"/>
    <w:rsid w:val="00805715"/>
    <w:rsid w:val="008067D9"/>
    <w:rsid w:val="0080759F"/>
    <w:rsid w:val="008078B1"/>
    <w:rsid w:val="0081137D"/>
    <w:rsid w:val="008121FF"/>
    <w:rsid w:val="00813BB2"/>
    <w:rsid w:val="0081418F"/>
    <w:rsid w:val="0081422D"/>
    <w:rsid w:val="00816688"/>
    <w:rsid w:val="00816717"/>
    <w:rsid w:val="00821142"/>
    <w:rsid w:val="008211FB"/>
    <w:rsid w:val="00822A9C"/>
    <w:rsid w:val="0082361A"/>
    <w:rsid w:val="00823FF8"/>
    <w:rsid w:val="008252F1"/>
    <w:rsid w:val="00825450"/>
    <w:rsid w:val="0083031C"/>
    <w:rsid w:val="008337F8"/>
    <w:rsid w:val="00833894"/>
    <w:rsid w:val="00833943"/>
    <w:rsid w:val="00833BC3"/>
    <w:rsid w:val="00834CC5"/>
    <w:rsid w:val="00835C6D"/>
    <w:rsid w:val="00836333"/>
    <w:rsid w:val="0084242C"/>
    <w:rsid w:val="00842F5E"/>
    <w:rsid w:val="0084409F"/>
    <w:rsid w:val="00844C1D"/>
    <w:rsid w:val="008467D7"/>
    <w:rsid w:val="00846D03"/>
    <w:rsid w:val="00846F2A"/>
    <w:rsid w:val="008476C4"/>
    <w:rsid w:val="00852D6F"/>
    <w:rsid w:val="008533C2"/>
    <w:rsid w:val="00853945"/>
    <w:rsid w:val="00860EA2"/>
    <w:rsid w:val="00862477"/>
    <w:rsid w:val="00863396"/>
    <w:rsid w:val="00864DAB"/>
    <w:rsid w:val="0086736A"/>
    <w:rsid w:val="00871896"/>
    <w:rsid w:val="00872715"/>
    <w:rsid w:val="008727AB"/>
    <w:rsid w:val="00873118"/>
    <w:rsid w:val="008733AA"/>
    <w:rsid w:val="00874FE0"/>
    <w:rsid w:val="0087565E"/>
    <w:rsid w:val="00877140"/>
    <w:rsid w:val="00877905"/>
    <w:rsid w:val="008809FA"/>
    <w:rsid w:val="00882C77"/>
    <w:rsid w:val="00882E2B"/>
    <w:rsid w:val="00882EB9"/>
    <w:rsid w:val="00883E28"/>
    <w:rsid w:val="00883EAA"/>
    <w:rsid w:val="008876B9"/>
    <w:rsid w:val="00887B71"/>
    <w:rsid w:val="008918F2"/>
    <w:rsid w:val="008928C7"/>
    <w:rsid w:val="00892BF8"/>
    <w:rsid w:val="00893049"/>
    <w:rsid w:val="00893392"/>
    <w:rsid w:val="008936A4"/>
    <w:rsid w:val="008A0220"/>
    <w:rsid w:val="008A186C"/>
    <w:rsid w:val="008A24F3"/>
    <w:rsid w:val="008A50DF"/>
    <w:rsid w:val="008A76BD"/>
    <w:rsid w:val="008B17E1"/>
    <w:rsid w:val="008B23BB"/>
    <w:rsid w:val="008B4E90"/>
    <w:rsid w:val="008B6227"/>
    <w:rsid w:val="008B663D"/>
    <w:rsid w:val="008B7604"/>
    <w:rsid w:val="008C0E25"/>
    <w:rsid w:val="008C19CF"/>
    <w:rsid w:val="008C20F5"/>
    <w:rsid w:val="008C3536"/>
    <w:rsid w:val="008C37FD"/>
    <w:rsid w:val="008C431D"/>
    <w:rsid w:val="008C5824"/>
    <w:rsid w:val="008C59D1"/>
    <w:rsid w:val="008D0361"/>
    <w:rsid w:val="008D6854"/>
    <w:rsid w:val="008D6C21"/>
    <w:rsid w:val="008E082F"/>
    <w:rsid w:val="008E3AA6"/>
    <w:rsid w:val="008E4176"/>
    <w:rsid w:val="008E6140"/>
    <w:rsid w:val="008E61DD"/>
    <w:rsid w:val="008E66C1"/>
    <w:rsid w:val="008E6A52"/>
    <w:rsid w:val="008F292B"/>
    <w:rsid w:val="008F619D"/>
    <w:rsid w:val="0090338A"/>
    <w:rsid w:val="009064F5"/>
    <w:rsid w:val="00906D77"/>
    <w:rsid w:val="0090742F"/>
    <w:rsid w:val="00907883"/>
    <w:rsid w:val="0091086E"/>
    <w:rsid w:val="00911F3C"/>
    <w:rsid w:val="009145CF"/>
    <w:rsid w:val="009172C7"/>
    <w:rsid w:val="009201E5"/>
    <w:rsid w:val="00920D08"/>
    <w:rsid w:val="009221F0"/>
    <w:rsid w:val="009242A2"/>
    <w:rsid w:val="009249EE"/>
    <w:rsid w:val="00926F26"/>
    <w:rsid w:val="009270AD"/>
    <w:rsid w:val="00930359"/>
    <w:rsid w:val="00931992"/>
    <w:rsid w:val="00932EE0"/>
    <w:rsid w:val="00933A4C"/>
    <w:rsid w:val="00933B73"/>
    <w:rsid w:val="009358CA"/>
    <w:rsid w:val="00936C0B"/>
    <w:rsid w:val="00937B2A"/>
    <w:rsid w:val="00940853"/>
    <w:rsid w:val="009414D6"/>
    <w:rsid w:val="00941A4C"/>
    <w:rsid w:val="00942B8F"/>
    <w:rsid w:val="00944B78"/>
    <w:rsid w:val="00945258"/>
    <w:rsid w:val="00946873"/>
    <w:rsid w:val="00947069"/>
    <w:rsid w:val="00950176"/>
    <w:rsid w:val="00951A8B"/>
    <w:rsid w:val="009539AA"/>
    <w:rsid w:val="00953B7E"/>
    <w:rsid w:val="0095424E"/>
    <w:rsid w:val="0096201C"/>
    <w:rsid w:val="00962A75"/>
    <w:rsid w:val="009638EC"/>
    <w:rsid w:val="00963F27"/>
    <w:rsid w:val="0096610F"/>
    <w:rsid w:val="00974016"/>
    <w:rsid w:val="009749E7"/>
    <w:rsid w:val="009770C2"/>
    <w:rsid w:val="0097710A"/>
    <w:rsid w:val="0097767A"/>
    <w:rsid w:val="009808B7"/>
    <w:rsid w:val="00982F8B"/>
    <w:rsid w:val="00983099"/>
    <w:rsid w:val="009830F8"/>
    <w:rsid w:val="00984E6E"/>
    <w:rsid w:val="00986D62"/>
    <w:rsid w:val="0098727B"/>
    <w:rsid w:val="00992A8A"/>
    <w:rsid w:val="0099354D"/>
    <w:rsid w:val="0099545C"/>
    <w:rsid w:val="009973CE"/>
    <w:rsid w:val="009A0FC5"/>
    <w:rsid w:val="009A274F"/>
    <w:rsid w:val="009B1CAB"/>
    <w:rsid w:val="009B4C7C"/>
    <w:rsid w:val="009C1753"/>
    <w:rsid w:val="009C1F5F"/>
    <w:rsid w:val="009C4042"/>
    <w:rsid w:val="009C4051"/>
    <w:rsid w:val="009C4C70"/>
    <w:rsid w:val="009C55DC"/>
    <w:rsid w:val="009C7F25"/>
    <w:rsid w:val="009D092A"/>
    <w:rsid w:val="009D1A12"/>
    <w:rsid w:val="009D28FC"/>
    <w:rsid w:val="009E129C"/>
    <w:rsid w:val="009E7F36"/>
    <w:rsid w:val="009F0A3A"/>
    <w:rsid w:val="009F21EC"/>
    <w:rsid w:val="009F267D"/>
    <w:rsid w:val="009F2E26"/>
    <w:rsid w:val="009F4F66"/>
    <w:rsid w:val="009F5C9D"/>
    <w:rsid w:val="009F6142"/>
    <w:rsid w:val="00A059BC"/>
    <w:rsid w:val="00A073C9"/>
    <w:rsid w:val="00A1089C"/>
    <w:rsid w:val="00A10CC2"/>
    <w:rsid w:val="00A1108B"/>
    <w:rsid w:val="00A131F4"/>
    <w:rsid w:val="00A143D1"/>
    <w:rsid w:val="00A1494A"/>
    <w:rsid w:val="00A16BE0"/>
    <w:rsid w:val="00A20529"/>
    <w:rsid w:val="00A21811"/>
    <w:rsid w:val="00A21AF8"/>
    <w:rsid w:val="00A22487"/>
    <w:rsid w:val="00A245E0"/>
    <w:rsid w:val="00A25239"/>
    <w:rsid w:val="00A25331"/>
    <w:rsid w:val="00A26EE5"/>
    <w:rsid w:val="00A2791D"/>
    <w:rsid w:val="00A30D56"/>
    <w:rsid w:val="00A3275D"/>
    <w:rsid w:val="00A36143"/>
    <w:rsid w:val="00A40FC5"/>
    <w:rsid w:val="00A445CE"/>
    <w:rsid w:val="00A4586E"/>
    <w:rsid w:val="00A51466"/>
    <w:rsid w:val="00A5178B"/>
    <w:rsid w:val="00A517F3"/>
    <w:rsid w:val="00A52CE9"/>
    <w:rsid w:val="00A55081"/>
    <w:rsid w:val="00A550EA"/>
    <w:rsid w:val="00A55F76"/>
    <w:rsid w:val="00A6061F"/>
    <w:rsid w:val="00A62609"/>
    <w:rsid w:val="00A6405B"/>
    <w:rsid w:val="00A65684"/>
    <w:rsid w:val="00A65A87"/>
    <w:rsid w:val="00A70742"/>
    <w:rsid w:val="00A72AA8"/>
    <w:rsid w:val="00A72CB7"/>
    <w:rsid w:val="00A741CF"/>
    <w:rsid w:val="00A757DF"/>
    <w:rsid w:val="00A8019E"/>
    <w:rsid w:val="00A812B9"/>
    <w:rsid w:val="00A843E6"/>
    <w:rsid w:val="00A84C0E"/>
    <w:rsid w:val="00A87DD9"/>
    <w:rsid w:val="00A9087A"/>
    <w:rsid w:val="00A90DC4"/>
    <w:rsid w:val="00A91CE1"/>
    <w:rsid w:val="00A92238"/>
    <w:rsid w:val="00A92DEB"/>
    <w:rsid w:val="00A93B31"/>
    <w:rsid w:val="00AA0878"/>
    <w:rsid w:val="00AA0D55"/>
    <w:rsid w:val="00AA1319"/>
    <w:rsid w:val="00AA262F"/>
    <w:rsid w:val="00AA495C"/>
    <w:rsid w:val="00AA6312"/>
    <w:rsid w:val="00AB011F"/>
    <w:rsid w:val="00AB5594"/>
    <w:rsid w:val="00AB5A51"/>
    <w:rsid w:val="00AC0ABA"/>
    <w:rsid w:val="00AC2823"/>
    <w:rsid w:val="00AC2E63"/>
    <w:rsid w:val="00AC7363"/>
    <w:rsid w:val="00AC782D"/>
    <w:rsid w:val="00AC7E72"/>
    <w:rsid w:val="00AD2830"/>
    <w:rsid w:val="00AD54FC"/>
    <w:rsid w:val="00AD5705"/>
    <w:rsid w:val="00AD5745"/>
    <w:rsid w:val="00AE1386"/>
    <w:rsid w:val="00AE1C48"/>
    <w:rsid w:val="00AE74B9"/>
    <w:rsid w:val="00AE7C0B"/>
    <w:rsid w:val="00AE7C31"/>
    <w:rsid w:val="00AE7DA9"/>
    <w:rsid w:val="00AF020B"/>
    <w:rsid w:val="00AF370E"/>
    <w:rsid w:val="00AF44BC"/>
    <w:rsid w:val="00AF6737"/>
    <w:rsid w:val="00B00865"/>
    <w:rsid w:val="00B021B0"/>
    <w:rsid w:val="00B10474"/>
    <w:rsid w:val="00B10BDF"/>
    <w:rsid w:val="00B10CF4"/>
    <w:rsid w:val="00B13C55"/>
    <w:rsid w:val="00B144BC"/>
    <w:rsid w:val="00B16F06"/>
    <w:rsid w:val="00B1764D"/>
    <w:rsid w:val="00B177E6"/>
    <w:rsid w:val="00B25E62"/>
    <w:rsid w:val="00B2786F"/>
    <w:rsid w:val="00B27D06"/>
    <w:rsid w:val="00B30098"/>
    <w:rsid w:val="00B323B7"/>
    <w:rsid w:val="00B325ED"/>
    <w:rsid w:val="00B33C65"/>
    <w:rsid w:val="00B35009"/>
    <w:rsid w:val="00B37A09"/>
    <w:rsid w:val="00B37D83"/>
    <w:rsid w:val="00B37FE3"/>
    <w:rsid w:val="00B4257C"/>
    <w:rsid w:val="00B42C02"/>
    <w:rsid w:val="00B42F99"/>
    <w:rsid w:val="00B435B3"/>
    <w:rsid w:val="00B44F20"/>
    <w:rsid w:val="00B4563F"/>
    <w:rsid w:val="00B45EAF"/>
    <w:rsid w:val="00B46F6B"/>
    <w:rsid w:val="00B4704C"/>
    <w:rsid w:val="00B47C5C"/>
    <w:rsid w:val="00B47F49"/>
    <w:rsid w:val="00B51942"/>
    <w:rsid w:val="00B5290F"/>
    <w:rsid w:val="00B52DDE"/>
    <w:rsid w:val="00B54A61"/>
    <w:rsid w:val="00B55A80"/>
    <w:rsid w:val="00B55C1B"/>
    <w:rsid w:val="00B61D0C"/>
    <w:rsid w:val="00B61D76"/>
    <w:rsid w:val="00B638AD"/>
    <w:rsid w:val="00B661D6"/>
    <w:rsid w:val="00B702DC"/>
    <w:rsid w:val="00B7203F"/>
    <w:rsid w:val="00B74353"/>
    <w:rsid w:val="00B80A78"/>
    <w:rsid w:val="00B80BC2"/>
    <w:rsid w:val="00B80C0A"/>
    <w:rsid w:val="00B81CE4"/>
    <w:rsid w:val="00B81EB0"/>
    <w:rsid w:val="00B8278D"/>
    <w:rsid w:val="00B863F8"/>
    <w:rsid w:val="00B87AC1"/>
    <w:rsid w:val="00B91740"/>
    <w:rsid w:val="00B91ACA"/>
    <w:rsid w:val="00B92DFD"/>
    <w:rsid w:val="00B92FAD"/>
    <w:rsid w:val="00BA00E4"/>
    <w:rsid w:val="00BA054E"/>
    <w:rsid w:val="00BA0C44"/>
    <w:rsid w:val="00BA0DD3"/>
    <w:rsid w:val="00BA2919"/>
    <w:rsid w:val="00BA45F6"/>
    <w:rsid w:val="00BA713A"/>
    <w:rsid w:val="00BB0A9F"/>
    <w:rsid w:val="00BB3BBC"/>
    <w:rsid w:val="00BB6FEC"/>
    <w:rsid w:val="00BC0C42"/>
    <w:rsid w:val="00BC2001"/>
    <w:rsid w:val="00BC2241"/>
    <w:rsid w:val="00BC4F41"/>
    <w:rsid w:val="00BC578B"/>
    <w:rsid w:val="00BC67D4"/>
    <w:rsid w:val="00BD1A22"/>
    <w:rsid w:val="00BD28A3"/>
    <w:rsid w:val="00BD3CD3"/>
    <w:rsid w:val="00BD41A1"/>
    <w:rsid w:val="00BD610E"/>
    <w:rsid w:val="00BD6BCC"/>
    <w:rsid w:val="00BD7783"/>
    <w:rsid w:val="00BD7CD7"/>
    <w:rsid w:val="00BE05A1"/>
    <w:rsid w:val="00BE05BF"/>
    <w:rsid w:val="00BE15D0"/>
    <w:rsid w:val="00BE65F8"/>
    <w:rsid w:val="00BE79FB"/>
    <w:rsid w:val="00BE7D38"/>
    <w:rsid w:val="00BE7E76"/>
    <w:rsid w:val="00BF175F"/>
    <w:rsid w:val="00BF32D3"/>
    <w:rsid w:val="00BF36F3"/>
    <w:rsid w:val="00BF39B7"/>
    <w:rsid w:val="00BF520A"/>
    <w:rsid w:val="00BF69DE"/>
    <w:rsid w:val="00C006AE"/>
    <w:rsid w:val="00C0142D"/>
    <w:rsid w:val="00C020D4"/>
    <w:rsid w:val="00C02C53"/>
    <w:rsid w:val="00C03077"/>
    <w:rsid w:val="00C035BF"/>
    <w:rsid w:val="00C0785B"/>
    <w:rsid w:val="00C10399"/>
    <w:rsid w:val="00C112EC"/>
    <w:rsid w:val="00C142A7"/>
    <w:rsid w:val="00C14F5C"/>
    <w:rsid w:val="00C15143"/>
    <w:rsid w:val="00C155B1"/>
    <w:rsid w:val="00C16C37"/>
    <w:rsid w:val="00C2039B"/>
    <w:rsid w:val="00C22FED"/>
    <w:rsid w:val="00C238D9"/>
    <w:rsid w:val="00C23BED"/>
    <w:rsid w:val="00C241DF"/>
    <w:rsid w:val="00C246FC"/>
    <w:rsid w:val="00C25193"/>
    <w:rsid w:val="00C254C5"/>
    <w:rsid w:val="00C25ADB"/>
    <w:rsid w:val="00C26379"/>
    <w:rsid w:val="00C31D82"/>
    <w:rsid w:val="00C361EE"/>
    <w:rsid w:val="00C4279A"/>
    <w:rsid w:val="00C452BF"/>
    <w:rsid w:val="00C508C9"/>
    <w:rsid w:val="00C52887"/>
    <w:rsid w:val="00C52FE6"/>
    <w:rsid w:val="00C54BA1"/>
    <w:rsid w:val="00C56854"/>
    <w:rsid w:val="00C56B28"/>
    <w:rsid w:val="00C572FB"/>
    <w:rsid w:val="00C57F96"/>
    <w:rsid w:val="00C62EF2"/>
    <w:rsid w:val="00C6675A"/>
    <w:rsid w:val="00C7135A"/>
    <w:rsid w:val="00C71799"/>
    <w:rsid w:val="00C80568"/>
    <w:rsid w:val="00C817F7"/>
    <w:rsid w:val="00C823F2"/>
    <w:rsid w:val="00C84DD6"/>
    <w:rsid w:val="00C86E09"/>
    <w:rsid w:val="00C90B03"/>
    <w:rsid w:val="00C91464"/>
    <w:rsid w:val="00C91AF8"/>
    <w:rsid w:val="00C9279D"/>
    <w:rsid w:val="00C9392E"/>
    <w:rsid w:val="00C93B1C"/>
    <w:rsid w:val="00C946D5"/>
    <w:rsid w:val="00CA0898"/>
    <w:rsid w:val="00CA0A62"/>
    <w:rsid w:val="00CA0A64"/>
    <w:rsid w:val="00CA14BF"/>
    <w:rsid w:val="00CA18D3"/>
    <w:rsid w:val="00CA3012"/>
    <w:rsid w:val="00CA383B"/>
    <w:rsid w:val="00CA6465"/>
    <w:rsid w:val="00CB0442"/>
    <w:rsid w:val="00CB1CDC"/>
    <w:rsid w:val="00CB30E6"/>
    <w:rsid w:val="00CB30EE"/>
    <w:rsid w:val="00CC2335"/>
    <w:rsid w:val="00CC4C27"/>
    <w:rsid w:val="00CC619A"/>
    <w:rsid w:val="00CD39B0"/>
    <w:rsid w:val="00CD3FE5"/>
    <w:rsid w:val="00CD439A"/>
    <w:rsid w:val="00CD5462"/>
    <w:rsid w:val="00CE11FA"/>
    <w:rsid w:val="00CE1290"/>
    <w:rsid w:val="00CE2E7D"/>
    <w:rsid w:val="00CE425B"/>
    <w:rsid w:val="00CE44B9"/>
    <w:rsid w:val="00CE4622"/>
    <w:rsid w:val="00CE50AE"/>
    <w:rsid w:val="00CE5632"/>
    <w:rsid w:val="00CE5B61"/>
    <w:rsid w:val="00CF335F"/>
    <w:rsid w:val="00CF6A52"/>
    <w:rsid w:val="00CF7461"/>
    <w:rsid w:val="00CF74E7"/>
    <w:rsid w:val="00D0158C"/>
    <w:rsid w:val="00D01D7C"/>
    <w:rsid w:val="00D0349F"/>
    <w:rsid w:val="00D04041"/>
    <w:rsid w:val="00D1076B"/>
    <w:rsid w:val="00D10C73"/>
    <w:rsid w:val="00D11693"/>
    <w:rsid w:val="00D13507"/>
    <w:rsid w:val="00D1416E"/>
    <w:rsid w:val="00D15BB6"/>
    <w:rsid w:val="00D2000D"/>
    <w:rsid w:val="00D21FD1"/>
    <w:rsid w:val="00D226AE"/>
    <w:rsid w:val="00D234E9"/>
    <w:rsid w:val="00D27EC6"/>
    <w:rsid w:val="00D3046A"/>
    <w:rsid w:val="00D31238"/>
    <w:rsid w:val="00D321FC"/>
    <w:rsid w:val="00D32B8F"/>
    <w:rsid w:val="00D35943"/>
    <w:rsid w:val="00D401E5"/>
    <w:rsid w:val="00D442FA"/>
    <w:rsid w:val="00D45A85"/>
    <w:rsid w:val="00D45B56"/>
    <w:rsid w:val="00D50BF9"/>
    <w:rsid w:val="00D51F73"/>
    <w:rsid w:val="00D548B8"/>
    <w:rsid w:val="00D56057"/>
    <w:rsid w:val="00D57415"/>
    <w:rsid w:val="00D60DB7"/>
    <w:rsid w:val="00D628DE"/>
    <w:rsid w:val="00D63C4C"/>
    <w:rsid w:val="00D640A5"/>
    <w:rsid w:val="00D676A8"/>
    <w:rsid w:val="00D67B5E"/>
    <w:rsid w:val="00D71678"/>
    <w:rsid w:val="00D716F8"/>
    <w:rsid w:val="00D71BC3"/>
    <w:rsid w:val="00D77772"/>
    <w:rsid w:val="00D77F0E"/>
    <w:rsid w:val="00D80278"/>
    <w:rsid w:val="00D80CFD"/>
    <w:rsid w:val="00D82D5F"/>
    <w:rsid w:val="00D839FA"/>
    <w:rsid w:val="00D84F05"/>
    <w:rsid w:val="00D850FB"/>
    <w:rsid w:val="00D85D37"/>
    <w:rsid w:val="00D87384"/>
    <w:rsid w:val="00D8790A"/>
    <w:rsid w:val="00D87A72"/>
    <w:rsid w:val="00D9118D"/>
    <w:rsid w:val="00D92E2C"/>
    <w:rsid w:val="00D96184"/>
    <w:rsid w:val="00DA15A9"/>
    <w:rsid w:val="00DA17D3"/>
    <w:rsid w:val="00DA30AB"/>
    <w:rsid w:val="00DA3D7B"/>
    <w:rsid w:val="00DA48F8"/>
    <w:rsid w:val="00DA4CFD"/>
    <w:rsid w:val="00DA521C"/>
    <w:rsid w:val="00DA6290"/>
    <w:rsid w:val="00DA75A3"/>
    <w:rsid w:val="00DA7F94"/>
    <w:rsid w:val="00DB0887"/>
    <w:rsid w:val="00DB1644"/>
    <w:rsid w:val="00DC4D2E"/>
    <w:rsid w:val="00DC5ADC"/>
    <w:rsid w:val="00DC6C4D"/>
    <w:rsid w:val="00DC6DDF"/>
    <w:rsid w:val="00DC723B"/>
    <w:rsid w:val="00DD15EC"/>
    <w:rsid w:val="00DD374B"/>
    <w:rsid w:val="00DD531B"/>
    <w:rsid w:val="00DE111E"/>
    <w:rsid w:val="00DE2FFD"/>
    <w:rsid w:val="00DE50C4"/>
    <w:rsid w:val="00DE611F"/>
    <w:rsid w:val="00DE6660"/>
    <w:rsid w:val="00DE6E55"/>
    <w:rsid w:val="00DF0175"/>
    <w:rsid w:val="00DF15F7"/>
    <w:rsid w:val="00DF1F09"/>
    <w:rsid w:val="00DF2101"/>
    <w:rsid w:val="00DF3EFF"/>
    <w:rsid w:val="00DF4777"/>
    <w:rsid w:val="00E018D0"/>
    <w:rsid w:val="00E018F0"/>
    <w:rsid w:val="00E03B75"/>
    <w:rsid w:val="00E05971"/>
    <w:rsid w:val="00E11F5A"/>
    <w:rsid w:val="00E13056"/>
    <w:rsid w:val="00E1486D"/>
    <w:rsid w:val="00E14960"/>
    <w:rsid w:val="00E171C7"/>
    <w:rsid w:val="00E20D86"/>
    <w:rsid w:val="00E20E82"/>
    <w:rsid w:val="00E20FFC"/>
    <w:rsid w:val="00E21D1C"/>
    <w:rsid w:val="00E22F87"/>
    <w:rsid w:val="00E25FD6"/>
    <w:rsid w:val="00E27107"/>
    <w:rsid w:val="00E3034F"/>
    <w:rsid w:val="00E35315"/>
    <w:rsid w:val="00E36E00"/>
    <w:rsid w:val="00E41261"/>
    <w:rsid w:val="00E4161B"/>
    <w:rsid w:val="00E421FE"/>
    <w:rsid w:val="00E43397"/>
    <w:rsid w:val="00E43873"/>
    <w:rsid w:val="00E43D08"/>
    <w:rsid w:val="00E476E3"/>
    <w:rsid w:val="00E47BE9"/>
    <w:rsid w:val="00E51EF6"/>
    <w:rsid w:val="00E5670F"/>
    <w:rsid w:val="00E6054B"/>
    <w:rsid w:val="00E609AE"/>
    <w:rsid w:val="00E6153B"/>
    <w:rsid w:val="00E61DB2"/>
    <w:rsid w:val="00E62123"/>
    <w:rsid w:val="00E624BB"/>
    <w:rsid w:val="00E62837"/>
    <w:rsid w:val="00E62851"/>
    <w:rsid w:val="00E62C36"/>
    <w:rsid w:val="00E63121"/>
    <w:rsid w:val="00E6333A"/>
    <w:rsid w:val="00E668B2"/>
    <w:rsid w:val="00E73F2B"/>
    <w:rsid w:val="00E74F96"/>
    <w:rsid w:val="00E75B87"/>
    <w:rsid w:val="00E761C9"/>
    <w:rsid w:val="00E76684"/>
    <w:rsid w:val="00E7670C"/>
    <w:rsid w:val="00E804FC"/>
    <w:rsid w:val="00E81C33"/>
    <w:rsid w:val="00E83581"/>
    <w:rsid w:val="00E8660C"/>
    <w:rsid w:val="00E907DE"/>
    <w:rsid w:val="00E90EA6"/>
    <w:rsid w:val="00E928D0"/>
    <w:rsid w:val="00E93376"/>
    <w:rsid w:val="00E95CFB"/>
    <w:rsid w:val="00E9677F"/>
    <w:rsid w:val="00E9730D"/>
    <w:rsid w:val="00EA1AAC"/>
    <w:rsid w:val="00EA2C2A"/>
    <w:rsid w:val="00EA37B6"/>
    <w:rsid w:val="00EA5560"/>
    <w:rsid w:val="00EB0085"/>
    <w:rsid w:val="00EB0373"/>
    <w:rsid w:val="00EB1CD1"/>
    <w:rsid w:val="00EB1F20"/>
    <w:rsid w:val="00EB27D1"/>
    <w:rsid w:val="00EB34CC"/>
    <w:rsid w:val="00EB58E0"/>
    <w:rsid w:val="00EC1344"/>
    <w:rsid w:val="00EC20EF"/>
    <w:rsid w:val="00EC2D54"/>
    <w:rsid w:val="00EC470C"/>
    <w:rsid w:val="00EC6175"/>
    <w:rsid w:val="00EC70C4"/>
    <w:rsid w:val="00EC72A5"/>
    <w:rsid w:val="00EC7E63"/>
    <w:rsid w:val="00ED0D94"/>
    <w:rsid w:val="00ED155B"/>
    <w:rsid w:val="00ED15A6"/>
    <w:rsid w:val="00ED1DD0"/>
    <w:rsid w:val="00ED27B8"/>
    <w:rsid w:val="00ED54A3"/>
    <w:rsid w:val="00ED6E85"/>
    <w:rsid w:val="00ED7573"/>
    <w:rsid w:val="00EE184B"/>
    <w:rsid w:val="00EE309A"/>
    <w:rsid w:val="00EE39B3"/>
    <w:rsid w:val="00EE6047"/>
    <w:rsid w:val="00EE6489"/>
    <w:rsid w:val="00EE6666"/>
    <w:rsid w:val="00EE6716"/>
    <w:rsid w:val="00EF026C"/>
    <w:rsid w:val="00EF04A6"/>
    <w:rsid w:val="00EF1FAE"/>
    <w:rsid w:val="00EF2A23"/>
    <w:rsid w:val="00EF2D34"/>
    <w:rsid w:val="00EF411F"/>
    <w:rsid w:val="00EF4A7A"/>
    <w:rsid w:val="00EF579A"/>
    <w:rsid w:val="00EF6407"/>
    <w:rsid w:val="00EF673E"/>
    <w:rsid w:val="00F00556"/>
    <w:rsid w:val="00F00840"/>
    <w:rsid w:val="00F03786"/>
    <w:rsid w:val="00F04B38"/>
    <w:rsid w:val="00F05413"/>
    <w:rsid w:val="00F07B37"/>
    <w:rsid w:val="00F1146E"/>
    <w:rsid w:val="00F13353"/>
    <w:rsid w:val="00F1404D"/>
    <w:rsid w:val="00F153D1"/>
    <w:rsid w:val="00F15BD2"/>
    <w:rsid w:val="00F1693E"/>
    <w:rsid w:val="00F231F1"/>
    <w:rsid w:val="00F23AA3"/>
    <w:rsid w:val="00F2412A"/>
    <w:rsid w:val="00F255BB"/>
    <w:rsid w:val="00F27956"/>
    <w:rsid w:val="00F328FA"/>
    <w:rsid w:val="00F33B23"/>
    <w:rsid w:val="00F33C04"/>
    <w:rsid w:val="00F34DFB"/>
    <w:rsid w:val="00F3754D"/>
    <w:rsid w:val="00F40077"/>
    <w:rsid w:val="00F41341"/>
    <w:rsid w:val="00F4209F"/>
    <w:rsid w:val="00F42FF7"/>
    <w:rsid w:val="00F43929"/>
    <w:rsid w:val="00F46228"/>
    <w:rsid w:val="00F46CC5"/>
    <w:rsid w:val="00F4702B"/>
    <w:rsid w:val="00F51D68"/>
    <w:rsid w:val="00F52923"/>
    <w:rsid w:val="00F5324F"/>
    <w:rsid w:val="00F53B7F"/>
    <w:rsid w:val="00F54D52"/>
    <w:rsid w:val="00F56711"/>
    <w:rsid w:val="00F5678C"/>
    <w:rsid w:val="00F57FCF"/>
    <w:rsid w:val="00F602C8"/>
    <w:rsid w:val="00F60B80"/>
    <w:rsid w:val="00F60C15"/>
    <w:rsid w:val="00F61C94"/>
    <w:rsid w:val="00F62560"/>
    <w:rsid w:val="00F638B0"/>
    <w:rsid w:val="00F64BC4"/>
    <w:rsid w:val="00F66320"/>
    <w:rsid w:val="00F6735E"/>
    <w:rsid w:val="00F7745E"/>
    <w:rsid w:val="00F828CA"/>
    <w:rsid w:val="00F831C3"/>
    <w:rsid w:val="00F846DF"/>
    <w:rsid w:val="00F85007"/>
    <w:rsid w:val="00F867A0"/>
    <w:rsid w:val="00F875BE"/>
    <w:rsid w:val="00F90E29"/>
    <w:rsid w:val="00F91AEE"/>
    <w:rsid w:val="00F93748"/>
    <w:rsid w:val="00F94FDD"/>
    <w:rsid w:val="00F95103"/>
    <w:rsid w:val="00F9581B"/>
    <w:rsid w:val="00F9694A"/>
    <w:rsid w:val="00FA0D8F"/>
    <w:rsid w:val="00FA5A69"/>
    <w:rsid w:val="00FA5EAC"/>
    <w:rsid w:val="00FA7196"/>
    <w:rsid w:val="00FA76A2"/>
    <w:rsid w:val="00FB11C5"/>
    <w:rsid w:val="00FB1834"/>
    <w:rsid w:val="00FB5142"/>
    <w:rsid w:val="00FB6F1F"/>
    <w:rsid w:val="00FC3115"/>
    <w:rsid w:val="00FC3EFC"/>
    <w:rsid w:val="00FC428B"/>
    <w:rsid w:val="00FD08A2"/>
    <w:rsid w:val="00FD34FB"/>
    <w:rsid w:val="00FD613D"/>
    <w:rsid w:val="00FD6B4E"/>
    <w:rsid w:val="00FD6F31"/>
    <w:rsid w:val="00FD722D"/>
    <w:rsid w:val="00FE09F5"/>
    <w:rsid w:val="00FE3031"/>
    <w:rsid w:val="00FF1062"/>
    <w:rsid w:val="00FF1955"/>
    <w:rsid w:val="00FF24AF"/>
    <w:rsid w:val="00FF2BFD"/>
    <w:rsid w:val="00FF39D5"/>
    <w:rsid w:val="00FF69B3"/>
    <w:rsid w:val="00FF77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B5C16B"/>
  <w15:docId w15:val="{EA0483F0-767E-41D2-9EEC-E438D0BC5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5F7"/>
    <w:pPr>
      <w:overflowPunct w:val="0"/>
      <w:autoSpaceDE w:val="0"/>
      <w:autoSpaceDN w:val="0"/>
      <w:adjustRightInd w:val="0"/>
      <w:spacing w:after="180"/>
      <w:textAlignment w:val="baseline"/>
    </w:pPr>
    <w:rPr>
      <w:color w:val="000000"/>
      <w:lang w:val="en-GB" w:eastAsia="ja-JP" w:bidi="ar-SA"/>
    </w:rPr>
  </w:style>
  <w:style w:type="paragraph" w:styleId="Heading1">
    <w:name w:val="heading 1"/>
    <w:next w:val="Normal"/>
    <w:link w:val="Heading1Char"/>
    <w:qFormat/>
    <w:rsid w:val="00D560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Mangal"/>
      <w:sz w:val="36"/>
      <w:lang w:val="en-GB" w:eastAsia="ja-JP"/>
    </w:rPr>
  </w:style>
  <w:style w:type="paragraph" w:styleId="Heading2">
    <w:name w:val="heading 2"/>
    <w:aliases w:val="H2,h2"/>
    <w:basedOn w:val="Heading1"/>
    <w:next w:val="Normal"/>
    <w:qFormat/>
    <w:rsid w:val="00D56057"/>
    <w:pPr>
      <w:numPr>
        <w:ilvl w:val="1"/>
      </w:numPr>
      <w:pBdr>
        <w:top w:val="none" w:sz="0" w:space="0" w:color="auto"/>
      </w:pBdr>
      <w:spacing w:before="180"/>
      <w:outlineLvl w:val="1"/>
    </w:pPr>
    <w:rPr>
      <w:sz w:val="32"/>
    </w:rPr>
  </w:style>
  <w:style w:type="paragraph" w:styleId="Heading3">
    <w:name w:val="heading 3"/>
    <w:basedOn w:val="Heading2"/>
    <w:next w:val="Normal"/>
    <w:qFormat/>
    <w:rsid w:val="00D56057"/>
    <w:pPr>
      <w:numPr>
        <w:ilvl w:val="2"/>
      </w:numPr>
      <w:spacing w:before="120"/>
      <w:outlineLvl w:val="2"/>
    </w:pPr>
    <w:rPr>
      <w:sz w:val="28"/>
    </w:rPr>
  </w:style>
  <w:style w:type="paragraph" w:styleId="Heading4">
    <w:name w:val="heading 4"/>
    <w:basedOn w:val="Heading3"/>
    <w:next w:val="Normal"/>
    <w:qFormat/>
    <w:rsid w:val="00D56057"/>
    <w:pPr>
      <w:numPr>
        <w:ilvl w:val="3"/>
      </w:numPr>
      <w:outlineLvl w:val="3"/>
    </w:pPr>
    <w:rPr>
      <w:sz w:val="24"/>
    </w:rPr>
  </w:style>
  <w:style w:type="paragraph" w:styleId="Heading5">
    <w:name w:val="heading 5"/>
    <w:basedOn w:val="Heading4"/>
    <w:next w:val="Normal"/>
    <w:qFormat/>
    <w:rsid w:val="00D56057"/>
    <w:pPr>
      <w:numPr>
        <w:ilvl w:val="4"/>
      </w:numPr>
      <w:outlineLvl w:val="4"/>
    </w:pPr>
    <w:rPr>
      <w:sz w:val="22"/>
    </w:rPr>
  </w:style>
  <w:style w:type="paragraph" w:styleId="Heading6">
    <w:name w:val="heading 6"/>
    <w:basedOn w:val="H6"/>
    <w:next w:val="Normal"/>
    <w:qFormat/>
    <w:rsid w:val="00D56057"/>
    <w:pPr>
      <w:numPr>
        <w:ilvl w:val="5"/>
      </w:numPr>
      <w:outlineLvl w:val="5"/>
    </w:pPr>
    <w:rPr>
      <w:b w:val="0"/>
      <w:sz w:val="20"/>
    </w:rPr>
  </w:style>
  <w:style w:type="paragraph" w:styleId="Heading7">
    <w:name w:val="heading 7"/>
    <w:basedOn w:val="H6"/>
    <w:next w:val="Normal"/>
    <w:qFormat/>
    <w:rsid w:val="00D56057"/>
    <w:pPr>
      <w:numPr>
        <w:ilvl w:val="6"/>
      </w:numPr>
      <w:outlineLvl w:val="6"/>
    </w:pPr>
    <w:rPr>
      <w:b w:val="0"/>
      <w:sz w:val="20"/>
    </w:rPr>
  </w:style>
  <w:style w:type="paragraph" w:styleId="Heading8">
    <w:name w:val="heading 8"/>
    <w:basedOn w:val="Heading1"/>
    <w:next w:val="Normal"/>
    <w:qFormat/>
    <w:rsid w:val="00D56057"/>
    <w:pPr>
      <w:numPr>
        <w:ilvl w:val="7"/>
      </w:numPr>
      <w:outlineLvl w:val="7"/>
    </w:pPr>
  </w:style>
  <w:style w:type="paragraph" w:styleId="Heading9">
    <w:name w:val="heading 9"/>
    <w:basedOn w:val="Heading8"/>
    <w:next w:val="Normal"/>
    <w:qFormat/>
    <w:rsid w:val="00D5605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6057"/>
    <w:pPr>
      <w:ind w:left="1985" w:hanging="1985"/>
      <w:outlineLvl w:val="9"/>
    </w:pPr>
    <w:rPr>
      <w:b/>
    </w:rPr>
  </w:style>
  <w:style w:type="paragraph" w:customStyle="1" w:styleId="ZA">
    <w:name w:val="ZA"/>
    <w:rsid w:val="00D560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bidi="ar-SA"/>
    </w:rPr>
  </w:style>
  <w:style w:type="paragraph" w:customStyle="1" w:styleId="ZB">
    <w:name w:val="ZB"/>
    <w:rsid w:val="00D560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bidi="ar-SA"/>
    </w:rPr>
  </w:style>
  <w:style w:type="paragraph" w:customStyle="1" w:styleId="ZC">
    <w:name w:val="ZC"/>
    <w:rsid w:val="00D56057"/>
    <w:pPr>
      <w:overflowPunct w:val="0"/>
      <w:autoSpaceDE w:val="0"/>
      <w:autoSpaceDN w:val="0"/>
      <w:adjustRightInd w:val="0"/>
      <w:spacing w:line="360" w:lineRule="atLeast"/>
      <w:jc w:val="center"/>
      <w:textAlignment w:val="baseline"/>
    </w:pPr>
    <w:rPr>
      <w:rFonts w:ascii="Arial" w:hAnsi="Arial"/>
      <w:lang w:val="en-GB" w:bidi="ar-SA"/>
    </w:rPr>
  </w:style>
  <w:style w:type="paragraph" w:customStyle="1" w:styleId="ZK">
    <w:name w:val="ZK"/>
    <w:rsid w:val="00D56057"/>
    <w:pPr>
      <w:overflowPunct w:val="0"/>
      <w:autoSpaceDE w:val="0"/>
      <w:autoSpaceDN w:val="0"/>
      <w:adjustRightInd w:val="0"/>
      <w:spacing w:after="240" w:line="240" w:lineRule="atLeast"/>
      <w:ind w:left="1191" w:right="113" w:hanging="1191"/>
      <w:textAlignment w:val="baseline"/>
    </w:pPr>
    <w:rPr>
      <w:rFonts w:ascii="Arial" w:hAnsi="Arial"/>
      <w:lang w:val="en-GB" w:bidi="ar-SA"/>
    </w:rPr>
  </w:style>
  <w:style w:type="paragraph" w:customStyle="1" w:styleId="ZT">
    <w:name w:val="ZT"/>
    <w:rsid w:val="00D560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bidi="ar-SA"/>
    </w:rPr>
  </w:style>
  <w:style w:type="paragraph" w:customStyle="1" w:styleId="ZU">
    <w:name w:val="ZU"/>
    <w:rsid w:val="00D560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bidi="ar-SA"/>
    </w:rPr>
  </w:style>
  <w:style w:type="paragraph" w:styleId="TOC1">
    <w:name w:val="toc 1"/>
    <w:semiHidden/>
    <w:rsid w:val="00D5605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bidi="ar-SA"/>
    </w:rPr>
  </w:style>
  <w:style w:type="paragraph" w:styleId="TOC2">
    <w:name w:val="toc 2"/>
    <w:basedOn w:val="TOC1"/>
    <w:semiHidden/>
    <w:rsid w:val="00D56057"/>
    <w:pPr>
      <w:keepNext w:val="0"/>
      <w:spacing w:before="0"/>
      <w:ind w:left="851" w:hanging="851"/>
    </w:pPr>
    <w:rPr>
      <w:sz w:val="20"/>
    </w:rPr>
  </w:style>
  <w:style w:type="paragraph" w:styleId="TOC3">
    <w:name w:val="toc 3"/>
    <w:basedOn w:val="TOC2"/>
    <w:semiHidden/>
    <w:rsid w:val="00D56057"/>
    <w:pPr>
      <w:ind w:left="1134" w:hanging="1134"/>
    </w:pPr>
  </w:style>
  <w:style w:type="paragraph" w:styleId="TOC4">
    <w:name w:val="toc 4"/>
    <w:basedOn w:val="TOC3"/>
    <w:semiHidden/>
    <w:rsid w:val="00D56057"/>
    <w:pPr>
      <w:ind w:left="1418" w:hanging="1418"/>
    </w:pPr>
  </w:style>
  <w:style w:type="paragraph" w:styleId="TOC5">
    <w:name w:val="toc 5"/>
    <w:basedOn w:val="TOC4"/>
    <w:semiHidden/>
    <w:rsid w:val="00D56057"/>
    <w:pPr>
      <w:ind w:left="1701" w:hanging="1701"/>
    </w:pPr>
  </w:style>
  <w:style w:type="paragraph" w:styleId="TOC6">
    <w:name w:val="toc 6"/>
    <w:basedOn w:val="TOC5"/>
    <w:next w:val="Normal"/>
    <w:semiHidden/>
    <w:rsid w:val="00D56057"/>
    <w:pPr>
      <w:ind w:left="1985" w:hanging="1985"/>
    </w:pPr>
  </w:style>
  <w:style w:type="paragraph" w:styleId="TOC7">
    <w:name w:val="toc 7"/>
    <w:basedOn w:val="TOC6"/>
    <w:next w:val="Normal"/>
    <w:semiHidden/>
    <w:rsid w:val="00D56057"/>
    <w:pPr>
      <w:ind w:left="2268" w:hanging="2268"/>
    </w:pPr>
  </w:style>
  <w:style w:type="paragraph" w:styleId="TOC8">
    <w:name w:val="toc 8"/>
    <w:basedOn w:val="TOC1"/>
    <w:semiHidden/>
    <w:rsid w:val="00D56057"/>
    <w:pPr>
      <w:spacing w:before="180"/>
      <w:ind w:left="2693" w:hanging="2693"/>
    </w:pPr>
    <w:rPr>
      <w:b/>
    </w:rPr>
  </w:style>
  <w:style w:type="paragraph" w:styleId="TOC9">
    <w:name w:val="toc 9"/>
    <w:basedOn w:val="TOC8"/>
    <w:semiHidden/>
    <w:rsid w:val="00D56057"/>
    <w:pPr>
      <w:ind w:left="1418" w:hanging="1418"/>
    </w:pPr>
  </w:style>
  <w:style w:type="paragraph" w:customStyle="1" w:styleId="TT">
    <w:name w:val="TT"/>
    <w:basedOn w:val="Heading1"/>
    <w:next w:val="Normal"/>
    <w:rsid w:val="00D56057"/>
    <w:pPr>
      <w:outlineLvl w:val="9"/>
    </w:pPr>
  </w:style>
  <w:style w:type="paragraph" w:customStyle="1" w:styleId="TAH">
    <w:name w:val="TAH"/>
    <w:basedOn w:val="TAC"/>
    <w:rsid w:val="00D56057"/>
    <w:rPr>
      <w:b/>
    </w:rPr>
  </w:style>
  <w:style w:type="paragraph" w:customStyle="1" w:styleId="TAC">
    <w:name w:val="TAC"/>
    <w:basedOn w:val="TAL"/>
    <w:rsid w:val="00D56057"/>
    <w:pPr>
      <w:jc w:val="center"/>
    </w:pPr>
  </w:style>
  <w:style w:type="paragraph" w:customStyle="1" w:styleId="TAL">
    <w:name w:val="TAL"/>
    <w:basedOn w:val="Normal"/>
    <w:rsid w:val="00D56057"/>
    <w:pPr>
      <w:keepNext/>
      <w:keepLines/>
      <w:spacing w:after="0"/>
    </w:pPr>
    <w:rPr>
      <w:rFonts w:ascii="Arial" w:hAnsi="Arial"/>
      <w:sz w:val="18"/>
    </w:rPr>
  </w:style>
  <w:style w:type="paragraph" w:customStyle="1" w:styleId="TAJ">
    <w:name w:val="TAJ"/>
    <w:basedOn w:val="Normal"/>
    <w:rsid w:val="00D56057"/>
    <w:pPr>
      <w:keepNext/>
      <w:keepLines/>
    </w:pPr>
    <w:rPr>
      <w:lang w:eastAsia="en-US"/>
    </w:rPr>
  </w:style>
  <w:style w:type="paragraph" w:customStyle="1" w:styleId="NO">
    <w:name w:val="NO"/>
    <w:basedOn w:val="Normal"/>
    <w:link w:val="NOChar"/>
    <w:rsid w:val="00D56057"/>
    <w:pPr>
      <w:keepLines/>
      <w:ind w:left="1135" w:hanging="851"/>
    </w:pPr>
    <w:rPr>
      <w:rFonts w:cs="Mangal"/>
      <w:lang w:bidi="hi-IN"/>
    </w:rPr>
  </w:style>
  <w:style w:type="paragraph" w:customStyle="1" w:styleId="HO">
    <w:name w:val="HO"/>
    <w:basedOn w:val="Normal"/>
    <w:rsid w:val="00D56057"/>
    <w:pPr>
      <w:jc w:val="right"/>
    </w:pPr>
    <w:rPr>
      <w:b/>
      <w:lang w:eastAsia="en-US"/>
    </w:rPr>
  </w:style>
  <w:style w:type="paragraph" w:customStyle="1" w:styleId="HE">
    <w:name w:val="HE"/>
    <w:basedOn w:val="Normal"/>
    <w:rsid w:val="00D56057"/>
    <w:rPr>
      <w:b/>
      <w:lang w:eastAsia="en-US"/>
    </w:rPr>
  </w:style>
  <w:style w:type="paragraph" w:customStyle="1" w:styleId="EX">
    <w:name w:val="EX"/>
    <w:basedOn w:val="Normal"/>
    <w:rsid w:val="00D56057"/>
    <w:pPr>
      <w:keepLines/>
      <w:ind w:left="1702" w:hanging="1418"/>
    </w:pPr>
  </w:style>
  <w:style w:type="paragraph" w:customStyle="1" w:styleId="FP">
    <w:name w:val="FP"/>
    <w:basedOn w:val="Normal"/>
    <w:rsid w:val="00D56057"/>
    <w:pPr>
      <w:spacing w:after="0"/>
    </w:pPr>
  </w:style>
  <w:style w:type="paragraph" w:customStyle="1" w:styleId="LD">
    <w:name w:val="LD"/>
    <w:rsid w:val="00D56057"/>
    <w:pPr>
      <w:keepNext/>
      <w:keepLines/>
      <w:overflowPunct w:val="0"/>
      <w:autoSpaceDE w:val="0"/>
      <w:autoSpaceDN w:val="0"/>
      <w:adjustRightInd w:val="0"/>
      <w:spacing w:line="180" w:lineRule="exact"/>
      <w:textAlignment w:val="baseline"/>
    </w:pPr>
    <w:rPr>
      <w:rFonts w:ascii="Courier New" w:hAnsi="Courier New"/>
      <w:noProof/>
      <w:lang w:val="en-GB" w:eastAsia="ja-JP" w:bidi="ar-SA"/>
    </w:rPr>
  </w:style>
  <w:style w:type="paragraph" w:customStyle="1" w:styleId="NW">
    <w:name w:val="NW"/>
    <w:basedOn w:val="NO"/>
    <w:rsid w:val="00D56057"/>
    <w:pPr>
      <w:spacing w:after="0"/>
    </w:pPr>
  </w:style>
  <w:style w:type="paragraph" w:customStyle="1" w:styleId="EW">
    <w:name w:val="EW"/>
    <w:basedOn w:val="EX"/>
    <w:rsid w:val="00D56057"/>
    <w:pPr>
      <w:spacing w:after="0"/>
    </w:pPr>
  </w:style>
  <w:style w:type="paragraph" w:customStyle="1" w:styleId="B2">
    <w:name w:val="B2"/>
    <w:basedOn w:val="Normal"/>
    <w:rsid w:val="00D56057"/>
    <w:pPr>
      <w:ind w:left="851" w:hanging="284"/>
    </w:pPr>
  </w:style>
  <w:style w:type="paragraph" w:customStyle="1" w:styleId="B1">
    <w:name w:val="B1"/>
    <w:basedOn w:val="Normal"/>
    <w:link w:val="B1Char"/>
    <w:rsid w:val="00D56057"/>
    <w:pPr>
      <w:ind w:left="568" w:hanging="284"/>
    </w:pPr>
  </w:style>
  <w:style w:type="paragraph" w:customStyle="1" w:styleId="B3">
    <w:name w:val="B3"/>
    <w:basedOn w:val="Normal"/>
    <w:rsid w:val="00D56057"/>
    <w:pPr>
      <w:ind w:left="1135" w:hanging="284"/>
    </w:pPr>
  </w:style>
  <w:style w:type="paragraph" w:customStyle="1" w:styleId="B4">
    <w:name w:val="B4"/>
    <w:basedOn w:val="Normal"/>
    <w:rsid w:val="00D56057"/>
    <w:pPr>
      <w:ind w:left="1418" w:hanging="284"/>
    </w:pPr>
  </w:style>
  <w:style w:type="paragraph" w:customStyle="1" w:styleId="B5">
    <w:name w:val="B5"/>
    <w:basedOn w:val="Normal"/>
    <w:rsid w:val="00D56057"/>
    <w:pPr>
      <w:ind w:left="1702" w:hanging="284"/>
    </w:pPr>
  </w:style>
  <w:style w:type="paragraph" w:customStyle="1" w:styleId="EQ">
    <w:name w:val="EQ"/>
    <w:basedOn w:val="Normal"/>
    <w:next w:val="Normal"/>
    <w:rsid w:val="00D56057"/>
    <w:pPr>
      <w:keepLines/>
      <w:tabs>
        <w:tab w:val="center" w:pos="4536"/>
        <w:tab w:val="right" w:pos="9072"/>
      </w:tabs>
    </w:pPr>
    <w:rPr>
      <w:noProof/>
    </w:rPr>
  </w:style>
  <w:style w:type="paragraph" w:customStyle="1" w:styleId="TH">
    <w:name w:val="TH"/>
    <w:basedOn w:val="Normal"/>
    <w:link w:val="THChar"/>
    <w:rsid w:val="00D56057"/>
    <w:pPr>
      <w:keepNext/>
      <w:keepLines/>
      <w:spacing w:before="60"/>
      <w:jc w:val="center"/>
    </w:pPr>
    <w:rPr>
      <w:rFonts w:ascii="Arial" w:hAnsi="Arial" w:cs="Mangal"/>
      <w:b/>
      <w:lang w:bidi="hi-IN"/>
    </w:rPr>
  </w:style>
  <w:style w:type="paragraph" w:customStyle="1" w:styleId="TF">
    <w:name w:val="TF"/>
    <w:basedOn w:val="TH"/>
    <w:rsid w:val="00D56057"/>
    <w:pPr>
      <w:keepNext w:val="0"/>
      <w:spacing w:before="0" w:after="240"/>
    </w:pPr>
  </w:style>
  <w:style w:type="paragraph" w:customStyle="1" w:styleId="NF">
    <w:name w:val="NF"/>
    <w:basedOn w:val="NO"/>
    <w:rsid w:val="00D56057"/>
    <w:pPr>
      <w:keepNext/>
      <w:spacing w:after="0"/>
    </w:pPr>
    <w:rPr>
      <w:rFonts w:ascii="Arial" w:hAnsi="Arial"/>
      <w:sz w:val="18"/>
    </w:rPr>
  </w:style>
  <w:style w:type="paragraph" w:customStyle="1" w:styleId="PL">
    <w:name w:val="PL"/>
    <w:rsid w:val="00D5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bidi="ar-SA"/>
    </w:rPr>
  </w:style>
  <w:style w:type="paragraph" w:customStyle="1" w:styleId="TAR">
    <w:name w:val="TAR"/>
    <w:basedOn w:val="TAL"/>
    <w:rsid w:val="00D56057"/>
    <w:pPr>
      <w:jc w:val="right"/>
    </w:pPr>
  </w:style>
  <w:style w:type="paragraph" w:customStyle="1" w:styleId="TAN">
    <w:name w:val="TAN"/>
    <w:basedOn w:val="TAL"/>
    <w:rsid w:val="00D56057"/>
    <w:pPr>
      <w:ind w:left="851" w:hanging="851"/>
    </w:pPr>
  </w:style>
  <w:style w:type="character" w:customStyle="1" w:styleId="ZGSM">
    <w:name w:val="ZGSM"/>
    <w:rsid w:val="00D56057"/>
  </w:style>
  <w:style w:type="paragraph" w:customStyle="1" w:styleId="AP">
    <w:name w:val="AP"/>
    <w:basedOn w:val="Normal"/>
    <w:rsid w:val="00D56057"/>
    <w:pPr>
      <w:ind w:left="2127" w:hanging="2127"/>
    </w:pPr>
    <w:rPr>
      <w:b/>
      <w:color w:val="FF0000"/>
    </w:rPr>
  </w:style>
  <w:style w:type="paragraph" w:customStyle="1" w:styleId="EditorsNote">
    <w:name w:val="Editor's Note"/>
    <w:aliases w:val="EN"/>
    <w:basedOn w:val="NO"/>
    <w:link w:val="EditorsNoteChar"/>
    <w:rsid w:val="00D56057"/>
    <w:rPr>
      <w:color w:val="FF0000"/>
    </w:rPr>
  </w:style>
  <w:style w:type="paragraph" w:customStyle="1" w:styleId="ZD">
    <w:name w:val="ZD"/>
    <w:rsid w:val="00D5605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bidi="ar-SA"/>
    </w:rPr>
  </w:style>
  <w:style w:type="paragraph" w:customStyle="1" w:styleId="ZG">
    <w:name w:val="ZG"/>
    <w:rsid w:val="00D560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bidi="ar-SA"/>
    </w:rPr>
  </w:style>
  <w:style w:type="paragraph" w:customStyle="1" w:styleId="ZH">
    <w:name w:val="ZH"/>
    <w:rsid w:val="00D5605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bidi="ar-SA"/>
    </w:rPr>
  </w:style>
  <w:style w:type="paragraph" w:customStyle="1" w:styleId="ZTD">
    <w:name w:val="ZTD"/>
    <w:basedOn w:val="ZB"/>
    <w:rsid w:val="00D56057"/>
    <w:pPr>
      <w:framePr w:hRule="auto" w:wrap="notBeside" w:y="852"/>
    </w:pPr>
    <w:rPr>
      <w:i w:val="0"/>
      <w:sz w:val="40"/>
    </w:rPr>
  </w:style>
  <w:style w:type="paragraph" w:customStyle="1" w:styleId="ZV">
    <w:name w:val="ZV"/>
    <w:basedOn w:val="ZU"/>
    <w:rsid w:val="00D56057"/>
    <w:pPr>
      <w:framePr w:wrap="notBeside" w:y="16161"/>
    </w:pPr>
  </w:style>
  <w:style w:type="paragraph" w:styleId="Footer">
    <w:name w:val="footer"/>
    <w:basedOn w:val="Normal"/>
    <w:rsid w:val="00D56057"/>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56057"/>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56057"/>
    <w:rPr>
      <w:color w:val="000000"/>
      <w:lang w:val="en-GB" w:eastAsia="ja-JP" w:bidi="ar-SA"/>
    </w:rPr>
  </w:style>
  <w:style w:type="character" w:customStyle="1" w:styleId="B1Char">
    <w:name w:val="B1 Char"/>
    <w:link w:val="B1"/>
    <w:rsid w:val="00106B17"/>
    <w:rPr>
      <w:color w:val="000000"/>
      <w:lang w:val="en-GB" w:eastAsia="ja-JP" w:bidi="ar-SA"/>
    </w:rPr>
  </w:style>
  <w:style w:type="paragraph" w:styleId="BalloonText">
    <w:name w:val="Balloon Text"/>
    <w:basedOn w:val="Normal"/>
    <w:semiHidden/>
    <w:rsid w:val="00FB6F1F"/>
    <w:rPr>
      <w:rFonts w:ascii="Tahoma" w:hAnsi="Tahoma" w:cs="Tahoma"/>
      <w:sz w:val="16"/>
      <w:szCs w:val="16"/>
    </w:rPr>
  </w:style>
  <w:style w:type="character" w:styleId="CommentReference">
    <w:name w:val="annotation reference"/>
    <w:semiHidden/>
    <w:rsid w:val="004D221B"/>
    <w:rPr>
      <w:sz w:val="16"/>
      <w:szCs w:val="16"/>
    </w:rPr>
  </w:style>
  <w:style w:type="paragraph" w:styleId="CommentText">
    <w:name w:val="annotation text"/>
    <w:basedOn w:val="Normal"/>
    <w:semiHidden/>
    <w:rsid w:val="004D221B"/>
  </w:style>
  <w:style w:type="paragraph" w:styleId="CommentSubject">
    <w:name w:val="annotation subject"/>
    <w:basedOn w:val="CommentText"/>
    <w:next w:val="CommentText"/>
    <w:semiHidden/>
    <w:rsid w:val="004D221B"/>
    <w:rPr>
      <w:b/>
      <w:bCs/>
    </w:rPr>
  </w:style>
  <w:style w:type="paragraph" w:styleId="ListParagraph">
    <w:name w:val="List Paragraph"/>
    <w:basedOn w:val="Normal"/>
    <w:uiPriority w:val="34"/>
    <w:qFormat/>
    <w:rsid w:val="00075426"/>
    <w:pPr>
      <w:overflowPunct/>
      <w:autoSpaceDE/>
      <w:autoSpaceDN/>
      <w:adjustRightInd/>
      <w:spacing w:after="0"/>
      <w:ind w:left="720"/>
      <w:contextualSpacing/>
      <w:textAlignment w:val="auto"/>
    </w:pPr>
    <w:rPr>
      <w:color w:val="auto"/>
      <w:sz w:val="24"/>
      <w:szCs w:val="24"/>
      <w:lang w:val="en-US" w:eastAsia="en-US"/>
    </w:rPr>
  </w:style>
  <w:style w:type="paragraph" w:styleId="Caption">
    <w:name w:val="caption"/>
    <w:basedOn w:val="Normal"/>
    <w:next w:val="Normal"/>
    <w:unhideWhenUsed/>
    <w:qFormat/>
    <w:rsid w:val="000B4E3B"/>
    <w:rPr>
      <w:b/>
      <w:bCs/>
    </w:rPr>
  </w:style>
  <w:style w:type="table" w:styleId="TableGrid">
    <w:name w:val="Table Grid"/>
    <w:basedOn w:val="TableNormal"/>
    <w:rsid w:val="00520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BE05A1"/>
    <w:rPr>
      <w:rFonts w:ascii="Arial" w:hAnsi="Arial" w:cs="Mangal"/>
      <w:sz w:val="36"/>
      <w:lang w:val="en-GB" w:eastAsia="ja-JP" w:bidi="hi-IN"/>
    </w:rPr>
  </w:style>
  <w:style w:type="paragraph" w:styleId="DocumentMap">
    <w:name w:val="Document Map"/>
    <w:basedOn w:val="Normal"/>
    <w:link w:val="DocumentMapChar"/>
    <w:rsid w:val="000271DF"/>
    <w:rPr>
      <w:rFonts w:ascii="Tahoma" w:hAnsi="Tahoma" w:cs="Mangal"/>
      <w:sz w:val="16"/>
      <w:szCs w:val="16"/>
      <w:lang w:bidi="hi-IN"/>
    </w:rPr>
  </w:style>
  <w:style w:type="character" w:customStyle="1" w:styleId="DocumentMapChar">
    <w:name w:val="Document Map Char"/>
    <w:link w:val="DocumentMap"/>
    <w:rsid w:val="000271DF"/>
    <w:rPr>
      <w:rFonts w:ascii="Tahoma" w:hAnsi="Tahoma" w:cs="Tahoma"/>
      <w:color w:val="000000"/>
      <w:sz w:val="16"/>
      <w:szCs w:val="16"/>
      <w:lang w:eastAsia="ja-JP"/>
    </w:rPr>
  </w:style>
  <w:style w:type="character" w:styleId="Hyperlink">
    <w:name w:val="Hyperlink"/>
    <w:uiPriority w:val="99"/>
    <w:unhideWhenUsed/>
    <w:rsid w:val="00DA30AB"/>
    <w:rPr>
      <w:color w:val="0000FF"/>
      <w:u w:val="single"/>
    </w:rPr>
  </w:style>
  <w:style w:type="paragraph" w:styleId="FootnoteText">
    <w:name w:val="footnote text"/>
    <w:basedOn w:val="Normal"/>
    <w:link w:val="FootnoteTextChar"/>
    <w:rsid w:val="00672E02"/>
    <w:rPr>
      <w:rFonts w:cs="Mangal"/>
      <w:lang w:bidi="hi-IN"/>
    </w:rPr>
  </w:style>
  <w:style w:type="character" w:customStyle="1" w:styleId="FootnoteTextChar">
    <w:name w:val="Footnote Text Char"/>
    <w:link w:val="FootnoteText"/>
    <w:rsid w:val="00672E02"/>
    <w:rPr>
      <w:color w:val="000000"/>
      <w:lang w:val="en-GB" w:eastAsia="ja-JP"/>
    </w:rPr>
  </w:style>
  <w:style w:type="character" w:styleId="FootnoteReference">
    <w:name w:val="footnote reference"/>
    <w:rsid w:val="00672E02"/>
    <w:rPr>
      <w:vertAlign w:val="superscript"/>
    </w:rPr>
  </w:style>
  <w:style w:type="character" w:customStyle="1" w:styleId="Doc-text2Char">
    <w:name w:val="Doc-text2 Char"/>
    <w:link w:val="Doc-text2"/>
    <w:locked/>
    <w:rsid w:val="00BE7D38"/>
    <w:rPr>
      <w:rFonts w:ascii="Arial" w:hAnsi="Arial" w:cs="Arial"/>
      <w:lang w:eastAsia="en-GB"/>
    </w:rPr>
  </w:style>
  <w:style w:type="paragraph" w:customStyle="1" w:styleId="Doc-text2">
    <w:name w:val="Doc-text2"/>
    <w:basedOn w:val="Normal"/>
    <w:link w:val="Doc-text2Char"/>
    <w:qFormat/>
    <w:rsid w:val="00BE7D38"/>
    <w:pPr>
      <w:overflowPunct/>
      <w:autoSpaceDE/>
      <w:autoSpaceDN/>
      <w:adjustRightInd/>
      <w:spacing w:after="0"/>
      <w:ind w:left="1622" w:hanging="363"/>
      <w:textAlignment w:val="auto"/>
    </w:pPr>
    <w:rPr>
      <w:rFonts w:ascii="Arial" w:hAnsi="Arial" w:cs="Mangal"/>
      <w:color w:val="auto"/>
      <w:lang w:eastAsia="en-GB" w:bidi="hi-IN"/>
    </w:rPr>
  </w:style>
  <w:style w:type="character" w:customStyle="1" w:styleId="EditorsNoteChar">
    <w:name w:val="Editor's Note Char"/>
    <w:aliases w:val="EN Char"/>
    <w:link w:val="EditorsNote"/>
    <w:rsid w:val="00271F4D"/>
    <w:rPr>
      <w:color w:val="FF0000"/>
      <w:lang w:val="en-GB" w:eastAsia="ja-JP"/>
    </w:rPr>
  </w:style>
  <w:style w:type="character" w:customStyle="1" w:styleId="NOChar">
    <w:name w:val="NO Char"/>
    <w:link w:val="NO"/>
    <w:rsid w:val="00271F4D"/>
    <w:rPr>
      <w:color w:val="000000"/>
      <w:lang w:val="en-GB" w:eastAsia="ja-JP"/>
    </w:rPr>
  </w:style>
  <w:style w:type="character" w:customStyle="1" w:styleId="THChar">
    <w:name w:val="TH Char"/>
    <w:link w:val="TH"/>
    <w:rsid w:val="00B80A78"/>
    <w:rPr>
      <w:rFonts w:ascii="Arial" w:hAnsi="Arial"/>
      <w:b/>
      <w:color w:val="000000"/>
      <w:lang w:val="en-GB" w:eastAsia="ja-JP"/>
    </w:rPr>
  </w:style>
  <w:style w:type="paragraph" w:styleId="Revision">
    <w:name w:val="Revision"/>
    <w:hidden/>
    <w:uiPriority w:val="99"/>
    <w:semiHidden/>
    <w:rsid w:val="00926F26"/>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26520">
      <w:bodyDiv w:val="1"/>
      <w:marLeft w:val="0"/>
      <w:marRight w:val="0"/>
      <w:marTop w:val="0"/>
      <w:marBottom w:val="0"/>
      <w:divBdr>
        <w:top w:val="none" w:sz="0" w:space="0" w:color="auto"/>
        <w:left w:val="none" w:sz="0" w:space="0" w:color="auto"/>
        <w:bottom w:val="none" w:sz="0" w:space="0" w:color="auto"/>
        <w:right w:val="none" w:sz="0" w:space="0" w:color="auto"/>
      </w:divBdr>
      <w:divsChild>
        <w:div w:id="115413028">
          <w:marLeft w:val="547"/>
          <w:marRight w:val="0"/>
          <w:marTop w:val="130"/>
          <w:marBottom w:val="0"/>
          <w:divBdr>
            <w:top w:val="none" w:sz="0" w:space="0" w:color="auto"/>
            <w:left w:val="none" w:sz="0" w:space="0" w:color="auto"/>
            <w:bottom w:val="none" w:sz="0" w:space="0" w:color="auto"/>
            <w:right w:val="none" w:sz="0" w:space="0" w:color="auto"/>
          </w:divBdr>
        </w:div>
        <w:div w:id="1052195296">
          <w:marLeft w:val="547"/>
          <w:marRight w:val="0"/>
          <w:marTop w:val="130"/>
          <w:marBottom w:val="0"/>
          <w:divBdr>
            <w:top w:val="none" w:sz="0" w:space="0" w:color="auto"/>
            <w:left w:val="none" w:sz="0" w:space="0" w:color="auto"/>
            <w:bottom w:val="none" w:sz="0" w:space="0" w:color="auto"/>
            <w:right w:val="none" w:sz="0" w:space="0" w:color="auto"/>
          </w:divBdr>
        </w:div>
        <w:div w:id="1174109957">
          <w:marLeft w:val="547"/>
          <w:marRight w:val="0"/>
          <w:marTop w:val="130"/>
          <w:marBottom w:val="0"/>
          <w:divBdr>
            <w:top w:val="none" w:sz="0" w:space="0" w:color="auto"/>
            <w:left w:val="none" w:sz="0" w:space="0" w:color="auto"/>
            <w:bottom w:val="none" w:sz="0" w:space="0" w:color="auto"/>
            <w:right w:val="none" w:sz="0" w:space="0" w:color="auto"/>
          </w:divBdr>
        </w:div>
        <w:div w:id="1449396705">
          <w:marLeft w:val="1166"/>
          <w:marRight w:val="0"/>
          <w:marTop w:val="115"/>
          <w:marBottom w:val="0"/>
          <w:divBdr>
            <w:top w:val="none" w:sz="0" w:space="0" w:color="auto"/>
            <w:left w:val="none" w:sz="0" w:space="0" w:color="auto"/>
            <w:bottom w:val="none" w:sz="0" w:space="0" w:color="auto"/>
            <w:right w:val="none" w:sz="0" w:space="0" w:color="auto"/>
          </w:divBdr>
        </w:div>
        <w:div w:id="1492790208">
          <w:marLeft w:val="547"/>
          <w:marRight w:val="0"/>
          <w:marTop w:val="130"/>
          <w:marBottom w:val="0"/>
          <w:divBdr>
            <w:top w:val="none" w:sz="0" w:space="0" w:color="auto"/>
            <w:left w:val="none" w:sz="0" w:space="0" w:color="auto"/>
            <w:bottom w:val="none" w:sz="0" w:space="0" w:color="auto"/>
            <w:right w:val="none" w:sz="0" w:space="0" w:color="auto"/>
          </w:divBdr>
        </w:div>
      </w:divsChild>
    </w:div>
    <w:div w:id="407701665">
      <w:bodyDiv w:val="1"/>
      <w:marLeft w:val="0"/>
      <w:marRight w:val="0"/>
      <w:marTop w:val="0"/>
      <w:marBottom w:val="0"/>
      <w:divBdr>
        <w:top w:val="none" w:sz="0" w:space="0" w:color="auto"/>
        <w:left w:val="none" w:sz="0" w:space="0" w:color="auto"/>
        <w:bottom w:val="none" w:sz="0" w:space="0" w:color="auto"/>
        <w:right w:val="none" w:sz="0" w:space="0" w:color="auto"/>
      </w:divBdr>
      <w:divsChild>
        <w:div w:id="1077937606">
          <w:marLeft w:val="547"/>
          <w:marRight w:val="0"/>
          <w:marTop w:val="77"/>
          <w:marBottom w:val="0"/>
          <w:divBdr>
            <w:top w:val="none" w:sz="0" w:space="0" w:color="auto"/>
            <w:left w:val="none" w:sz="0" w:space="0" w:color="auto"/>
            <w:bottom w:val="none" w:sz="0" w:space="0" w:color="auto"/>
            <w:right w:val="none" w:sz="0" w:space="0" w:color="auto"/>
          </w:divBdr>
        </w:div>
      </w:divsChild>
    </w:div>
    <w:div w:id="583999942">
      <w:bodyDiv w:val="1"/>
      <w:marLeft w:val="0"/>
      <w:marRight w:val="0"/>
      <w:marTop w:val="0"/>
      <w:marBottom w:val="0"/>
      <w:divBdr>
        <w:top w:val="none" w:sz="0" w:space="0" w:color="auto"/>
        <w:left w:val="none" w:sz="0" w:space="0" w:color="auto"/>
        <w:bottom w:val="none" w:sz="0" w:space="0" w:color="auto"/>
        <w:right w:val="none" w:sz="0" w:space="0" w:color="auto"/>
      </w:divBdr>
    </w:div>
    <w:div w:id="604463147">
      <w:bodyDiv w:val="1"/>
      <w:marLeft w:val="0"/>
      <w:marRight w:val="0"/>
      <w:marTop w:val="0"/>
      <w:marBottom w:val="0"/>
      <w:divBdr>
        <w:top w:val="none" w:sz="0" w:space="0" w:color="auto"/>
        <w:left w:val="none" w:sz="0" w:space="0" w:color="auto"/>
        <w:bottom w:val="none" w:sz="0" w:space="0" w:color="auto"/>
        <w:right w:val="none" w:sz="0" w:space="0" w:color="auto"/>
      </w:divBdr>
    </w:div>
    <w:div w:id="760494898">
      <w:bodyDiv w:val="1"/>
      <w:marLeft w:val="0"/>
      <w:marRight w:val="0"/>
      <w:marTop w:val="0"/>
      <w:marBottom w:val="0"/>
      <w:divBdr>
        <w:top w:val="none" w:sz="0" w:space="0" w:color="auto"/>
        <w:left w:val="none" w:sz="0" w:space="0" w:color="auto"/>
        <w:bottom w:val="none" w:sz="0" w:space="0" w:color="auto"/>
        <w:right w:val="none" w:sz="0" w:space="0" w:color="auto"/>
      </w:divBdr>
    </w:div>
    <w:div w:id="863135366">
      <w:bodyDiv w:val="1"/>
      <w:marLeft w:val="0"/>
      <w:marRight w:val="0"/>
      <w:marTop w:val="0"/>
      <w:marBottom w:val="0"/>
      <w:divBdr>
        <w:top w:val="none" w:sz="0" w:space="0" w:color="auto"/>
        <w:left w:val="none" w:sz="0" w:space="0" w:color="auto"/>
        <w:bottom w:val="none" w:sz="0" w:space="0" w:color="auto"/>
        <w:right w:val="none" w:sz="0" w:space="0" w:color="auto"/>
      </w:divBdr>
    </w:div>
    <w:div w:id="903492610">
      <w:bodyDiv w:val="1"/>
      <w:marLeft w:val="0"/>
      <w:marRight w:val="0"/>
      <w:marTop w:val="0"/>
      <w:marBottom w:val="0"/>
      <w:divBdr>
        <w:top w:val="none" w:sz="0" w:space="0" w:color="auto"/>
        <w:left w:val="none" w:sz="0" w:space="0" w:color="auto"/>
        <w:bottom w:val="none" w:sz="0" w:space="0" w:color="auto"/>
        <w:right w:val="none" w:sz="0" w:space="0" w:color="auto"/>
      </w:divBdr>
      <w:divsChild>
        <w:div w:id="395203054">
          <w:marLeft w:val="547"/>
          <w:marRight w:val="0"/>
          <w:marTop w:val="91"/>
          <w:marBottom w:val="0"/>
          <w:divBdr>
            <w:top w:val="none" w:sz="0" w:space="0" w:color="auto"/>
            <w:left w:val="none" w:sz="0" w:space="0" w:color="auto"/>
            <w:bottom w:val="none" w:sz="0" w:space="0" w:color="auto"/>
            <w:right w:val="none" w:sz="0" w:space="0" w:color="auto"/>
          </w:divBdr>
        </w:div>
        <w:div w:id="991369487">
          <w:marLeft w:val="547"/>
          <w:marRight w:val="0"/>
          <w:marTop w:val="91"/>
          <w:marBottom w:val="0"/>
          <w:divBdr>
            <w:top w:val="none" w:sz="0" w:space="0" w:color="auto"/>
            <w:left w:val="none" w:sz="0" w:space="0" w:color="auto"/>
            <w:bottom w:val="none" w:sz="0" w:space="0" w:color="auto"/>
            <w:right w:val="none" w:sz="0" w:space="0" w:color="auto"/>
          </w:divBdr>
        </w:div>
        <w:div w:id="1268123197">
          <w:marLeft w:val="547"/>
          <w:marRight w:val="0"/>
          <w:marTop w:val="91"/>
          <w:marBottom w:val="0"/>
          <w:divBdr>
            <w:top w:val="none" w:sz="0" w:space="0" w:color="auto"/>
            <w:left w:val="none" w:sz="0" w:space="0" w:color="auto"/>
            <w:bottom w:val="none" w:sz="0" w:space="0" w:color="auto"/>
            <w:right w:val="none" w:sz="0" w:space="0" w:color="auto"/>
          </w:divBdr>
        </w:div>
        <w:div w:id="1620064250">
          <w:marLeft w:val="547"/>
          <w:marRight w:val="0"/>
          <w:marTop w:val="91"/>
          <w:marBottom w:val="0"/>
          <w:divBdr>
            <w:top w:val="none" w:sz="0" w:space="0" w:color="auto"/>
            <w:left w:val="none" w:sz="0" w:space="0" w:color="auto"/>
            <w:bottom w:val="none" w:sz="0" w:space="0" w:color="auto"/>
            <w:right w:val="none" w:sz="0" w:space="0" w:color="auto"/>
          </w:divBdr>
        </w:div>
        <w:div w:id="1638334925">
          <w:marLeft w:val="547"/>
          <w:marRight w:val="0"/>
          <w:marTop w:val="91"/>
          <w:marBottom w:val="0"/>
          <w:divBdr>
            <w:top w:val="none" w:sz="0" w:space="0" w:color="auto"/>
            <w:left w:val="none" w:sz="0" w:space="0" w:color="auto"/>
            <w:bottom w:val="none" w:sz="0" w:space="0" w:color="auto"/>
            <w:right w:val="none" w:sz="0" w:space="0" w:color="auto"/>
          </w:divBdr>
        </w:div>
        <w:div w:id="1840776506">
          <w:marLeft w:val="547"/>
          <w:marRight w:val="0"/>
          <w:marTop w:val="91"/>
          <w:marBottom w:val="0"/>
          <w:divBdr>
            <w:top w:val="none" w:sz="0" w:space="0" w:color="auto"/>
            <w:left w:val="none" w:sz="0" w:space="0" w:color="auto"/>
            <w:bottom w:val="none" w:sz="0" w:space="0" w:color="auto"/>
            <w:right w:val="none" w:sz="0" w:space="0" w:color="auto"/>
          </w:divBdr>
        </w:div>
      </w:divsChild>
    </w:div>
    <w:div w:id="1085111331">
      <w:bodyDiv w:val="1"/>
      <w:marLeft w:val="0"/>
      <w:marRight w:val="0"/>
      <w:marTop w:val="0"/>
      <w:marBottom w:val="0"/>
      <w:divBdr>
        <w:top w:val="none" w:sz="0" w:space="0" w:color="auto"/>
        <w:left w:val="none" w:sz="0" w:space="0" w:color="auto"/>
        <w:bottom w:val="none" w:sz="0" w:space="0" w:color="auto"/>
        <w:right w:val="none" w:sz="0" w:space="0" w:color="auto"/>
      </w:divBdr>
      <w:divsChild>
        <w:div w:id="343556784">
          <w:marLeft w:val="547"/>
          <w:marRight w:val="0"/>
          <w:marTop w:val="86"/>
          <w:marBottom w:val="0"/>
          <w:divBdr>
            <w:top w:val="none" w:sz="0" w:space="0" w:color="auto"/>
            <w:left w:val="none" w:sz="0" w:space="0" w:color="auto"/>
            <w:bottom w:val="none" w:sz="0" w:space="0" w:color="auto"/>
            <w:right w:val="none" w:sz="0" w:space="0" w:color="auto"/>
          </w:divBdr>
        </w:div>
        <w:div w:id="417096470">
          <w:marLeft w:val="1166"/>
          <w:marRight w:val="0"/>
          <w:marTop w:val="77"/>
          <w:marBottom w:val="0"/>
          <w:divBdr>
            <w:top w:val="none" w:sz="0" w:space="0" w:color="auto"/>
            <w:left w:val="none" w:sz="0" w:space="0" w:color="auto"/>
            <w:bottom w:val="none" w:sz="0" w:space="0" w:color="auto"/>
            <w:right w:val="none" w:sz="0" w:space="0" w:color="auto"/>
          </w:divBdr>
        </w:div>
        <w:div w:id="469246214">
          <w:marLeft w:val="1800"/>
          <w:marRight w:val="0"/>
          <w:marTop w:val="77"/>
          <w:marBottom w:val="0"/>
          <w:divBdr>
            <w:top w:val="none" w:sz="0" w:space="0" w:color="auto"/>
            <w:left w:val="none" w:sz="0" w:space="0" w:color="auto"/>
            <w:bottom w:val="none" w:sz="0" w:space="0" w:color="auto"/>
            <w:right w:val="none" w:sz="0" w:space="0" w:color="auto"/>
          </w:divBdr>
        </w:div>
        <w:div w:id="509609385">
          <w:marLeft w:val="1166"/>
          <w:marRight w:val="0"/>
          <w:marTop w:val="77"/>
          <w:marBottom w:val="0"/>
          <w:divBdr>
            <w:top w:val="none" w:sz="0" w:space="0" w:color="auto"/>
            <w:left w:val="none" w:sz="0" w:space="0" w:color="auto"/>
            <w:bottom w:val="none" w:sz="0" w:space="0" w:color="auto"/>
            <w:right w:val="none" w:sz="0" w:space="0" w:color="auto"/>
          </w:divBdr>
        </w:div>
        <w:div w:id="735738635">
          <w:marLeft w:val="547"/>
          <w:marRight w:val="0"/>
          <w:marTop w:val="86"/>
          <w:marBottom w:val="0"/>
          <w:divBdr>
            <w:top w:val="none" w:sz="0" w:space="0" w:color="auto"/>
            <w:left w:val="none" w:sz="0" w:space="0" w:color="auto"/>
            <w:bottom w:val="none" w:sz="0" w:space="0" w:color="auto"/>
            <w:right w:val="none" w:sz="0" w:space="0" w:color="auto"/>
          </w:divBdr>
        </w:div>
        <w:div w:id="801650060">
          <w:marLeft w:val="1166"/>
          <w:marRight w:val="0"/>
          <w:marTop w:val="77"/>
          <w:marBottom w:val="0"/>
          <w:divBdr>
            <w:top w:val="none" w:sz="0" w:space="0" w:color="auto"/>
            <w:left w:val="none" w:sz="0" w:space="0" w:color="auto"/>
            <w:bottom w:val="none" w:sz="0" w:space="0" w:color="auto"/>
            <w:right w:val="none" w:sz="0" w:space="0" w:color="auto"/>
          </w:divBdr>
        </w:div>
        <w:div w:id="1098597366">
          <w:marLeft w:val="547"/>
          <w:marRight w:val="0"/>
          <w:marTop w:val="86"/>
          <w:marBottom w:val="0"/>
          <w:divBdr>
            <w:top w:val="none" w:sz="0" w:space="0" w:color="auto"/>
            <w:left w:val="none" w:sz="0" w:space="0" w:color="auto"/>
            <w:bottom w:val="none" w:sz="0" w:space="0" w:color="auto"/>
            <w:right w:val="none" w:sz="0" w:space="0" w:color="auto"/>
          </w:divBdr>
        </w:div>
        <w:div w:id="1100684289">
          <w:marLeft w:val="1800"/>
          <w:marRight w:val="0"/>
          <w:marTop w:val="77"/>
          <w:marBottom w:val="0"/>
          <w:divBdr>
            <w:top w:val="none" w:sz="0" w:space="0" w:color="auto"/>
            <w:left w:val="none" w:sz="0" w:space="0" w:color="auto"/>
            <w:bottom w:val="none" w:sz="0" w:space="0" w:color="auto"/>
            <w:right w:val="none" w:sz="0" w:space="0" w:color="auto"/>
          </w:divBdr>
        </w:div>
        <w:div w:id="1417508522">
          <w:marLeft w:val="1800"/>
          <w:marRight w:val="0"/>
          <w:marTop w:val="77"/>
          <w:marBottom w:val="0"/>
          <w:divBdr>
            <w:top w:val="none" w:sz="0" w:space="0" w:color="auto"/>
            <w:left w:val="none" w:sz="0" w:space="0" w:color="auto"/>
            <w:bottom w:val="none" w:sz="0" w:space="0" w:color="auto"/>
            <w:right w:val="none" w:sz="0" w:space="0" w:color="auto"/>
          </w:divBdr>
        </w:div>
        <w:div w:id="1811635071">
          <w:marLeft w:val="1166"/>
          <w:marRight w:val="0"/>
          <w:marTop w:val="77"/>
          <w:marBottom w:val="0"/>
          <w:divBdr>
            <w:top w:val="none" w:sz="0" w:space="0" w:color="auto"/>
            <w:left w:val="none" w:sz="0" w:space="0" w:color="auto"/>
            <w:bottom w:val="none" w:sz="0" w:space="0" w:color="auto"/>
            <w:right w:val="none" w:sz="0" w:space="0" w:color="auto"/>
          </w:divBdr>
        </w:div>
      </w:divsChild>
    </w:div>
    <w:div w:id="1316449715">
      <w:bodyDiv w:val="1"/>
      <w:marLeft w:val="0"/>
      <w:marRight w:val="0"/>
      <w:marTop w:val="0"/>
      <w:marBottom w:val="0"/>
      <w:divBdr>
        <w:top w:val="none" w:sz="0" w:space="0" w:color="auto"/>
        <w:left w:val="none" w:sz="0" w:space="0" w:color="auto"/>
        <w:bottom w:val="none" w:sz="0" w:space="0" w:color="auto"/>
        <w:right w:val="none" w:sz="0" w:space="0" w:color="auto"/>
      </w:divBdr>
    </w:div>
    <w:div w:id="1444348817">
      <w:bodyDiv w:val="1"/>
      <w:marLeft w:val="0"/>
      <w:marRight w:val="0"/>
      <w:marTop w:val="0"/>
      <w:marBottom w:val="0"/>
      <w:divBdr>
        <w:top w:val="none" w:sz="0" w:space="0" w:color="auto"/>
        <w:left w:val="none" w:sz="0" w:space="0" w:color="auto"/>
        <w:bottom w:val="none" w:sz="0" w:space="0" w:color="auto"/>
        <w:right w:val="none" w:sz="0" w:space="0" w:color="auto"/>
      </w:divBdr>
      <w:divsChild>
        <w:div w:id="127405236">
          <w:marLeft w:val="1166"/>
          <w:marRight w:val="0"/>
          <w:marTop w:val="82"/>
          <w:marBottom w:val="0"/>
          <w:divBdr>
            <w:top w:val="none" w:sz="0" w:space="0" w:color="auto"/>
            <w:left w:val="none" w:sz="0" w:space="0" w:color="auto"/>
            <w:bottom w:val="none" w:sz="0" w:space="0" w:color="auto"/>
            <w:right w:val="none" w:sz="0" w:space="0" w:color="auto"/>
          </w:divBdr>
        </w:div>
        <w:div w:id="448091738">
          <w:marLeft w:val="547"/>
          <w:marRight w:val="0"/>
          <w:marTop w:val="91"/>
          <w:marBottom w:val="0"/>
          <w:divBdr>
            <w:top w:val="none" w:sz="0" w:space="0" w:color="auto"/>
            <w:left w:val="none" w:sz="0" w:space="0" w:color="auto"/>
            <w:bottom w:val="none" w:sz="0" w:space="0" w:color="auto"/>
            <w:right w:val="none" w:sz="0" w:space="0" w:color="auto"/>
          </w:divBdr>
        </w:div>
        <w:div w:id="849491631">
          <w:marLeft w:val="547"/>
          <w:marRight w:val="0"/>
          <w:marTop w:val="91"/>
          <w:marBottom w:val="0"/>
          <w:divBdr>
            <w:top w:val="none" w:sz="0" w:space="0" w:color="auto"/>
            <w:left w:val="none" w:sz="0" w:space="0" w:color="auto"/>
            <w:bottom w:val="none" w:sz="0" w:space="0" w:color="auto"/>
            <w:right w:val="none" w:sz="0" w:space="0" w:color="auto"/>
          </w:divBdr>
        </w:div>
        <w:div w:id="2012029754">
          <w:marLeft w:val="1166"/>
          <w:marRight w:val="0"/>
          <w:marTop w:val="82"/>
          <w:marBottom w:val="0"/>
          <w:divBdr>
            <w:top w:val="none" w:sz="0" w:space="0" w:color="auto"/>
            <w:left w:val="none" w:sz="0" w:space="0" w:color="auto"/>
            <w:bottom w:val="none" w:sz="0" w:space="0" w:color="auto"/>
            <w:right w:val="none" w:sz="0" w:space="0" w:color="auto"/>
          </w:divBdr>
        </w:div>
      </w:divsChild>
    </w:div>
    <w:div w:id="1479372866">
      <w:bodyDiv w:val="1"/>
      <w:marLeft w:val="0"/>
      <w:marRight w:val="0"/>
      <w:marTop w:val="0"/>
      <w:marBottom w:val="0"/>
      <w:divBdr>
        <w:top w:val="none" w:sz="0" w:space="0" w:color="auto"/>
        <w:left w:val="none" w:sz="0" w:space="0" w:color="auto"/>
        <w:bottom w:val="none" w:sz="0" w:space="0" w:color="auto"/>
        <w:right w:val="none" w:sz="0" w:space="0" w:color="auto"/>
      </w:divBdr>
      <w:divsChild>
        <w:div w:id="1422290504">
          <w:marLeft w:val="648"/>
          <w:marRight w:val="0"/>
          <w:marTop w:val="67"/>
          <w:marBottom w:val="120"/>
          <w:divBdr>
            <w:top w:val="none" w:sz="0" w:space="0" w:color="auto"/>
            <w:left w:val="none" w:sz="0" w:space="0" w:color="auto"/>
            <w:bottom w:val="none" w:sz="0" w:space="0" w:color="auto"/>
            <w:right w:val="none" w:sz="0" w:space="0" w:color="auto"/>
          </w:divBdr>
        </w:div>
      </w:divsChild>
    </w:div>
    <w:div w:id="1513182238">
      <w:bodyDiv w:val="1"/>
      <w:marLeft w:val="0"/>
      <w:marRight w:val="0"/>
      <w:marTop w:val="0"/>
      <w:marBottom w:val="0"/>
      <w:divBdr>
        <w:top w:val="none" w:sz="0" w:space="0" w:color="auto"/>
        <w:left w:val="none" w:sz="0" w:space="0" w:color="auto"/>
        <w:bottom w:val="none" w:sz="0" w:space="0" w:color="auto"/>
        <w:right w:val="none" w:sz="0" w:space="0" w:color="auto"/>
      </w:divBdr>
      <w:divsChild>
        <w:div w:id="249697376">
          <w:marLeft w:val="547"/>
          <w:marRight w:val="0"/>
          <w:marTop w:val="96"/>
          <w:marBottom w:val="0"/>
          <w:divBdr>
            <w:top w:val="none" w:sz="0" w:space="0" w:color="auto"/>
            <w:left w:val="none" w:sz="0" w:space="0" w:color="auto"/>
            <w:bottom w:val="none" w:sz="0" w:space="0" w:color="auto"/>
            <w:right w:val="none" w:sz="0" w:space="0" w:color="auto"/>
          </w:divBdr>
        </w:div>
        <w:div w:id="284848859">
          <w:marLeft w:val="1166"/>
          <w:marRight w:val="0"/>
          <w:marTop w:val="86"/>
          <w:marBottom w:val="0"/>
          <w:divBdr>
            <w:top w:val="none" w:sz="0" w:space="0" w:color="auto"/>
            <w:left w:val="none" w:sz="0" w:space="0" w:color="auto"/>
            <w:bottom w:val="none" w:sz="0" w:space="0" w:color="auto"/>
            <w:right w:val="none" w:sz="0" w:space="0" w:color="auto"/>
          </w:divBdr>
        </w:div>
        <w:div w:id="1131747321">
          <w:marLeft w:val="547"/>
          <w:marRight w:val="0"/>
          <w:marTop w:val="96"/>
          <w:marBottom w:val="0"/>
          <w:divBdr>
            <w:top w:val="none" w:sz="0" w:space="0" w:color="auto"/>
            <w:left w:val="none" w:sz="0" w:space="0" w:color="auto"/>
            <w:bottom w:val="none" w:sz="0" w:space="0" w:color="auto"/>
            <w:right w:val="none" w:sz="0" w:space="0" w:color="auto"/>
          </w:divBdr>
        </w:div>
        <w:div w:id="1240865796">
          <w:marLeft w:val="1166"/>
          <w:marRight w:val="0"/>
          <w:marTop w:val="86"/>
          <w:marBottom w:val="0"/>
          <w:divBdr>
            <w:top w:val="none" w:sz="0" w:space="0" w:color="auto"/>
            <w:left w:val="none" w:sz="0" w:space="0" w:color="auto"/>
            <w:bottom w:val="none" w:sz="0" w:space="0" w:color="auto"/>
            <w:right w:val="none" w:sz="0" w:space="0" w:color="auto"/>
          </w:divBdr>
        </w:div>
        <w:div w:id="1914703505">
          <w:marLeft w:val="547"/>
          <w:marRight w:val="0"/>
          <w:marTop w:val="96"/>
          <w:marBottom w:val="0"/>
          <w:divBdr>
            <w:top w:val="none" w:sz="0" w:space="0" w:color="auto"/>
            <w:left w:val="none" w:sz="0" w:space="0" w:color="auto"/>
            <w:bottom w:val="none" w:sz="0" w:space="0" w:color="auto"/>
            <w:right w:val="none" w:sz="0" w:space="0" w:color="auto"/>
          </w:divBdr>
        </w:div>
      </w:divsChild>
    </w:div>
    <w:div w:id="1554385421">
      <w:bodyDiv w:val="1"/>
      <w:marLeft w:val="0"/>
      <w:marRight w:val="0"/>
      <w:marTop w:val="0"/>
      <w:marBottom w:val="0"/>
      <w:divBdr>
        <w:top w:val="none" w:sz="0" w:space="0" w:color="auto"/>
        <w:left w:val="none" w:sz="0" w:space="0" w:color="auto"/>
        <w:bottom w:val="none" w:sz="0" w:space="0" w:color="auto"/>
        <w:right w:val="none" w:sz="0" w:space="0" w:color="auto"/>
      </w:divBdr>
    </w:div>
    <w:div w:id="1609892746">
      <w:bodyDiv w:val="1"/>
      <w:marLeft w:val="0"/>
      <w:marRight w:val="0"/>
      <w:marTop w:val="0"/>
      <w:marBottom w:val="0"/>
      <w:divBdr>
        <w:top w:val="none" w:sz="0" w:space="0" w:color="auto"/>
        <w:left w:val="none" w:sz="0" w:space="0" w:color="auto"/>
        <w:bottom w:val="none" w:sz="0" w:space="0" w:color="auto"/>
        <w:right w:val="none" w:sz="0" w:space="0" w:color="auto"/>
      </w:divBdr>
    </w:div>
    <w:div w:id="1816143700">
      <w:bodyDiv w:val="1"/>
      <w:marLeft w:val="0"/>
      <w:marRight w:val="0"/>
      <w:marTop w:val="0"/>
      <w:marBottom w:val="0"/>
      <w:divBdr>
        <w:top w:val="none" w:sz="0" w:space="0" w:color="auto"/>
        <w:left w:val="none" w:sz="0" w:space="0" w:color="auto"/>
        <w:bottom w:val="none" w:sz="0" w:space="0" w:color="auto"/>
        <w:right w:val="none" w:sz="0" w:space="0" w:color="auto"/>
      </w:divBdr>
      <w:divsChild>
        <w:div w:id="1647314694">
          <w:marLeft w:val="547"/>
          <w:marRight w:val="0"/>
          <w:marTop w:val="144"/>
          <w:marBottom w:val="0"/>
          <w:divBdr>
            <w:top w:val="none" w:sz="0" w:space="0" w:color="auto"/>
            <w:left w:val="none" w:sz="0" w:space="0" w:color="auto"/>
            <w:bottom w:val="none" w:sz="0" w:space="0" w:color="auto"/>
            <w:right w:val="none" w:sz="0" w:space="0" w:color="auto"/>
          </w:divBdr>
        </w:div>
      </w:divsChild>
    </w:div>
    <w:div w:id="1853760414">
      <w:bodyDiv w:val="1"/>
      <w:marLeft w:val="0"/>
      <w:marRight w:val="0"/>
      <w:marTop w:val="0"/>
      <w:marBottom w:val="0"/>
      <w:divBdr>
        <w:top w:val="none" w:sz="0" w:space="0" w:color="auto"/>
        <w:left w:val="none" w:sz="0" w:space="0" w:color="auto"/>
        <w:bottom w:val="none" w:sz="0" w:space="0" w:color="auto"/>
        <w:right w:val="none" w:sz="0" w:space="0" w:color="auto"/>
      </w:divBdr>
      <w:divsChild>
        <w:div w:id="1009137450">
          <w:marLeft w:val="1166"/>
          <w:marRight w:val="0"/>
          <w:marTop w:val="77"/>
          <w:marBottom w:val="0"/>
          <w:divBdr>
            <w:top w:val="none" w:sz="0" w:space="0" w:color="auto"/>
            <w:left w:val="none" w:sz="0" w:space="0" w:color="auto"/>
            <w:bottom w:val="none" w:sz="0" w:space="0" w:color="auto"/>
            <w:right w:val="none" w:sz="0" w:space="0" w:color="auto"/>
          </w:divBdr>
        </w:div>
        <w:div w:id="1827092329">
          <w:marLeft w:val="1166"/>
          <w:marRight w:val="0"/>
          <w:marTop w:val="77"/>
          <w:marBottom w:val="0"/>
          <w:divBdr>
            <w:top w:val="none" w:sz="0" w:space="0" w:color="auto"/>
            <w:left w:val="none" w:sz="0" w:space="0" w:color="auto"/>
            <w:bottom w:val="none" w:sz="0" w:space="0" w:color="auto"/>
            <w:right w:val="none" w:sz="0" w:space="0" w:color="auto"/>
          </w:divBdr>
        </w:div>
      </w:divsChild>
    </w:div>
    <w:div w:id="211231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509A9-1F72-4906-92DF-AABC13616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Pages>
  <Words>1133</Words>
  <Characters>6460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Eswar Vutukuri</cp:lastModifiedBy>
  <cp:revision>16</cp:revision>
  <cp:lastPrinted>2015-01-13T03:19:00Z</cp:lastPrinted>
  <dcterms:created xsi:type="dcterms:W3CDTF">2016-05-12T11:37:00Z</dcterms:created>
  <dcterms:modified xsi:type="dcterms:W3CDTF">2016-05-13T17:15:00Z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